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C0F24" w14:textId="07E31E30" w:rsidR="006B24E5" w:rsidRDefault="006B24E5">
      <w:pPr>
        <w:rPr>
          <w:i/>
        </w:rPr>
      </w:pPr>
      <w:r>
        <w:rPr>
          <w:i/>
        </w:rPr>
        <w:t>Products Requested:</w:t>
      </w:r>
    </w:p>
    <w:p w14:paraId="2258B282" w14:textId="00D67F3E" w:rsidR="006B24E5" w:rsidRDefault="006B24E5">
      <w:r>
        <w:t>1. Two correlation matrices (i.e. with numerical correlation coefficients) – one weighted for county NHW population size, the other unweighted (what we have been doing all along).</w:t>
      </w:r>
    </w:p>
    <w:p w14:paraId="73B04655" w14:textId="77777777" w:rsidR="006B24E5" w:rsidRDefault="006B24E5"/>
    <w:p w14:paraId="74F79F8E" w14:textId="06486509" w:rsidR="006B24E5" w:rsidRDefault="006B24E5">
      <w:r>
        <w:t>2. Two correlation pictographs (i.e. the one in which circle color depicts the correlation’s sign and circle size depicts the correlation’s strength/magnitude) – one weighted for county NHW population size, the other unweighted.</w:t>
      </w:r>
    </w:p>
    <w:p w14:paraId="3FDC29EA" w14:textId="77777777" w:rsidR="006B24E5" w:rsidRDefault="006B24E5"/>
    <w:p w14:paraId="7C40DF48" w14:textId="60105C4F" w:rsidR="006B24E5" w:rsidRDefault="006B24E5">
      <w:r>
        <w:t>Total of 11 variables: Melanoma Incidence, 5 UV-related, 5 medical care-related.</w:t>
      </w:r>
    </w:p>
    <w:p w14:paraId="3538F82E" w14:textId="77777777" w:rsidR="006B24E5" w:rsidRDefault="006B24E5"/>
    <w:p w14:paraId="5FC2BA53" w14:textId="6595DBCB" w:rsidR="006B24E5" w:rsidRDefault="006B24E5">
      <w:r>
        <w:t>New Variable Labels:</w:t>
      </w:r>
    </w:p>
    <w:p w14:paraId="712E85BF" w14:textId="77777777" w:rsidR="006B24E5" w:rsidRDefault="006B24E5"/>
    <w:tbl>
      <w:tblPr>
        <w:tblStyle w:val="TableGrid"/>
        <w:tblW w:w="0" w:type="auto"/>
        <w:tblLook w:val="04A0" w:firstRow="1" w:lastRow="0" w:firstColumn="1" w:lastColumn="0" w:noHBand="0" w:noVBand="1"/>
      </w:tblPr>
      <w:tblGrid>
        <w:gridCol w:w="3105"/>
        <w:gridCol w:w="3118"/>
        <w:gridCol w:w="3127"/>
      </w:tblGrid>
      <w:tr w:rsidR="006B24E5" w:rsidRPr="006B24E5" w14:paraId="4E399297" w14:textId="77777777" w:rsidTr="006B24E5">
        <w:tc>
          <w:tcPr>
            <w:tcW w:w="3192" w:type="dxa"/>
          </w:tcPr>
          <w:p w14:paraId="791616A3" w14:textId="1F83FD10" w:rsidR="006B24E5" w:rsidRPr="006B24E5" w:rsidRDefault="006B24E5" w:rsidP="006B24E5">
            <w:pPr>
              <w:jc w:val="center"/>
              <w:rPr>
                <w:b/>
              </w:rPr>
            </w:pPr>
            <w:r>
              <w:rPr>
                <w:b/>
              </w:rPr>
              <w:t>Outcome</w:t>
            </w:r>
          </w:p>
        </w:tc>
        <w:tc>
          <w:tcPr>
            <w:tcW w:w="3192" w:type="dxa"/>
          </w:tcPr>
          <w:p w14:paraId="5F6F6CFD" w14:textId="62F5CB92" w:rsidR="006B24E5" w:rsidRPr="006B24E5" w:rsidRDefault="006B24E5" w:rsidP="006B24E5">
            <w:pPr>
              <w:jc w:val="center"/>
              <w:rPr>
                <w:b/>
              </w:rPr>
            </w:pPr>
            <w:r w:rsidRPr="006B24E5">
              <w:rPr>
                <w:b/>
              </w:rPr>
              <w:t>UV-related</w:t>
            </w:r>
          </w:p>
        </w:tc>
        <w:tc>
          <w:tcPr>
            <w:tcW w:w="3192" w:type="dxa"/>
          </w:tcPr>
          <w:p w14:paraId="50B516D4" w14:textId="4AA46358" w:rsidR="006B24E5" w:rsidRPr="006B24E5" w:rsidRDefault="006B24E5" w:rsidP="006B24E5">
            <w:pPr>
              <w:jc w:val="center"/>
              <w:rPr>
                <w:b/>
              </w:rPr>
            </w:pPr>
            <w:r w:rsidRPr="006B24E5">
              <w:rPr>
                <w:b/>
              </w:rPr>
              <w:t>Medical care-related</w:t>
            </w:r>
          </w:p>
        </w:tc>
      </w:tr>
      <w:tr w:rsidR="006B24E5" w14:paraId="304638F1" w14:textId="77777777" w:rsidTr="006B24E5">
        <w:tc>
          <w:tcPr>
            <w:tcW w:w="3192" w:type="dxa"/>
          </w:tcPr>
          <w:p w14:paraId="11B980F4" w14:textId="4E184D81" w:rsidR="006B24E5" w:rsidRDefault="006B24E5">
            <w:r>
              <w:t>Melanoma Incidence</w:t>
            </w:r>
          </w:p>
        </w:tc>
        <w:tc>
          <w:tcPr>
            <w:tcW w:w="3192" w:type="dxa"/>
          </w:tcPr>
          <w:p w14:paraId="1494B8CE" w14:textId="0FB84669" w:rsidR="006B24E5" w:rsidRDefault="006B24E5">
            <w:r>
              <w:t>UV Daily Dose</w:t>
            </w:r>
          </w:p>
        </w:tc>
        <w:tc>
          <w:tcPr>
            <w:tcW w:w="3192" w:type="dxa"/>
          </w:tcPr>
          <w:p w14:paraId="2882781A" w14:textId="5D8D7B31" w:rsidR="006B24E5" w:rsidRDefault="006B24E5">
            <w:r>
              <w:t>Dermatologists</w:t>
            </w:r>
          </w:p>
        </w:tc>
      </w:tr>
      <w:tr w:rsidR="006B24E5" w14:paraId="400B37DA" w14:textId="77777777" w:rsidTr="006B24E5">
        <w:tc>
          <w:tcPr>
            <w:tcW w:w="3192" w:type="dxa"/>
          </w:tcPr>
          <w:p w14:paraId="11033192" w14:textId="77777777" w:rsidR="006B24E5" w:rsidRDefault="006B24E5"/>
        </w:tc>
        <w:tc>
          <w:tcPr>
            <w:tcW w:w="3192" w:type="dxa"/>
          </w:tcPr>
          <w:p w14:paraId="42917479" w14:textId="2B71E9C3" w:rsidR="006B24E5" w:rsidRDefault="006B24E5">
            <w:r>
              <w:t>UV Solar Noon</w:t>
            </w:r>
          </w:p>
        </w:tc>
        <w:tc>
          <w:tcPr>
            <w:tcW w:w="3192" w:type="dxa"/>
          </w:tcPr>
          <w:p w14:paraId="612E15E7" w14:textId="17BBDF38" w:rsidR="006B24E5" w:rsidRDefault="006B24E5">
            <w:r>
              <w:t>Primary Care</w:t>
            </w:r>
          </w:p>
        </w:tc>
      </w:tr>
      <w:tr w:rsidR="006B24E5" w14:paraId="4856B537" w14:textId="77777777" w:rsidTr="006B24E5">
        <w:tc>
          <w:tcPr>
            <w:tcW w:w="3192" w:type="dxa"/>
          </w:tcPr>
          <w:p w14:paraId="096A867B" w14:textId="77777777" w:rsidR="006B24E5" w:rsidRDefault="006B24E5"/>
        </w:tc>
        <w:tc>
          <w:tcPr>
            <w:tcW w:w="3192" w:type="dxa"/>
          </w:tcPr>
          <w:p w14:paraId="56B5DFD1" w14:textId="4C21997B" w:rsidR="006B24E5" w:rsidRDefault="006B24E5">
            <w:r>
              <w:t>Cloud Seasonality</w:t>
            </w:r>
          </w:p>
        </w:tc>
        <w:tc>
          <w:tcPr>
            <w:tcW w:w="3192" w:type="dxa"/>
          </w:tcPr>
          <w:p w14:paraId="1A584B8A" w14:textId="1D6F27B6" w:rsidR="006B24E5" w:rsidRDefault="006B24E5">
            <w:r>
              <w:t>Households &gt;$50,000</w:t>
            </w:r>
          </w:p>
        </w:tc>
      </w:tr>
      <w:tr w:rsidR="006B24E5" w14:paraId="29F38C9C" w14:textId="77777777" w:rsidTr="006B24E5">
        <w:tc>
          <w:tcPr>
            <w:tcW w:w="3192" w:type="dxa"/>
          </w:tcPr>
          <w:p w14:paraId="4172CEC8" w14:textId="77777777" w:rsidR="006B24E5" w:rsidRDefault="006B24E5"/>
        </w:tc>
        <w:tc>
          <w:tcPr>
            <w:tcW w:w="3192" w:type="dxa"/>
          </w:tcPr>
          <w:p w14:paraId="6C73934A" w14:textId="4009F400" w:rsidR="006B24E5" w:rsidRDefault="006B24E5">
            <w:r>
              <w:t>Temperature Seasonality</w:t>
            </w:r>
          </w:p>
        </w:tc>
        <w:tc>
          <w:tcPr>
            <w:tcW w:w="3192" w:type="dxa"/>
          </w:tcPr>
          <w:p w14:paraId="28E66669" w14:textId="4C5325B7" w:rsidR="006B24E5" w:rsidRDefault="006B24E5">
            <w:r>
              <w:t>Median Household</w:t>
            </w:r>
          </w:p>
        </w:tc>
      </w:tr>
      <w:tr w:rsidR="006B24E5" w14:paraId="70B3F82C" w14:textId="77777777" w:rsidTr="006B24E5">
        <w:tc>
          <w:tcPr>
            <w:tcW w:w="3192" w:type="dxa"/>
          </w:tcPr>
          <w:p w14:paraId="7F65F491" w14:textId="77777777" w:rsidR="006B24E5" w:rsidRDefault="006B24E5"/>
        </w:tc>
        <w:tc>
          <w:tcPr>
            <w:tcW w:w="3192" w:type="dxa"/>
          </w:tcPr>
          <w:p w14:paraId="05644BDA" w14:textId="58E2888D" w:rsidR="006B24E5" w:rsidRDefault="006B24E5">
            <w:r>
              <w:t>Elevation</w:t>
            </w:r>
          </w:p>
        </w:tc>
        <w:tc>
          <w:tcPr>
            <w:tcW w:w="3192" w:type="dxa"/>
          </w:tcPr>
          <w:p w14:paraId="73BE9055" w14:textId="2CDACAF4" w:rsidR="006B24E5" w:rsidRDefault="006B24E5">
            <w:r>
              <w:t>Income per capita</w:t>
            </w:r>
          </w:p>
        </w:tc>
      </w:tr>
    </w:tbl>
    <w:p w14:paraId="18349B5D" w14:textId="77777777" w:rsidR="006B24E5" w:rsidRPr="006B24E5" w:rsidRDefault="006B24E5"/>
    <w:p w14:paraId="5B9DAC5F" w14:textId="77777777" w:rsidR="006B24E5" w:rsidRDefault="006B24E5">
      <w:pPr>
        <w:rPr>
          <w:i/>
        </w:rPr>
      </w:pPr>
    </w:p>
    <w:p w14:paraId="57D2CF10" w14:textId="50D6A739" w:rsidR="009E4A58" w:rsidRDefault="009E4A58">
      <w:r w:rsidRPr="00DF55B2">
        <w:rPr>
          <w:i/>
        </w:rPr>
        <w:t>Background</w:t>
      </w:r>
      <w:r>
        <w:t xml:space="preserve">:  </w:t>
      </w:r>
      <w:r w:rsidR="00A74323">
        <w:t>Weighting implies that some data points (in our case, counties) contribute more to the main effect (in our case, correlation coefficients) than others.  In simplest terms, counties with large populations count more than those with small ones.  The “weight” in this case, is the size of NHW population.</w:t>
      </w:r>
    </w:p>
    <w:p w14:paraId="12E001DD" w14:textId="77777777" w:rsidR="00D929FA" w:rsidRDefault="00D929FA"/>
    <w:p w14:paraId="36B430A3" w14:textId="5FACCD4B" w:rsidR="00D929FA" w:rsidRDefault="00D929FA">
      <w:r w:rsidRPr="00D929FA">
        <w:rPr>
          <w:i/>
        </w:rPr>
        <w:t>Why are we weighting</w:t>
      </w:r>
      <w:r>
        <w:rPr>
          <w:i/>
        </w:rPr>
        <w:t>?</w:t>
      </w:r>
      <w:r>
        <w:t xml:space="preserve">  </w:t>
      </w:r>
      <w:r w:rsidR="00A17EC0">
        <w:t xml:space="preserve">Honestly, because it is the </w:t>
      </w:r>
      <w:r w:rsidR="00E434BE">
        <w:t>more conservative approach (leads to a higher correlation on UV).  We will still have the opportunity to highlight that weighting seems to matter much more to the UV-related variables (the greater NYC/southern California problem) than the medical care variables.  The article “</w:t>
      </w:r>
      <w:r w:rsidR="00095896">
        <w:t>W</w:t>
      </w:r>
      <w:r w:rsidR="00E434BE">
        <w:t>hat are we weight</w:t>
      </w:r>
      <w:r w:rsidR="00095896">
        <w:t>ing</w:t>
      </w:r>
      <w:r w:rsidR="00E434BE">
        <w:t xml:space="preserve"> for</w:t>
      </w:r>
      <w:r w:rsidR="00095896">
        <w:t>?</w:t>
      </w:r>
      <w:r w:rsidR="00E434BE">
        <w:t xml:space="preserve">” ends with </w:t>
      </w:r>
      <w:r>
        <w:t>this:</w:t>
      </w:r>
    </w:p>
    <w:p w14:paraId="6230F359" w14:textId="539E6495" w:rsidR="00D929FA" w:rsidRPr="00095896" w:rsidRDefault="00095896">
      <w:pPr>
        <w:rPr>
          <w:b/>
        </w:rPr>
      </w:pPr>
      <w:r w:rsidRPr="00095896">
        <w:rPr>
          <w:b/>
          <w:sz w:val="23"/>
          <w:szCs w:val="23"/>
        </w:rPr>
        <w:t>“</w:t>
      </w:r>
      <w:r w:rsidR="00E434BE" w:rsidRPr="00095896">
        <w:rPr>
          <w:b/>
          <w:sz w:val="23"/>
          <w:szCs w:val="23"/>
        </w:rPr>
        <w:t>Finally, it often is good practice to report both weighted and unweighted estimates.</w:t>
      </w:r>
      <w:r w:rsidRPr="00095896">
        <w:rPr>
          <w:b/>
          <w:sz w:val="23"/>
          <w:szCs w:val="23"/>
        </w:rPr>
        <w:t>”</w:t>
      </w:r>
    </w:p>
    <w:p w14:paraId="4D5E80BD" w14:textId="2F8A7C43" w:rsidR="009E4A58" w:rsidRDefault="00095896">
      <w:r>
        <w:t>So, why not?</w:t>
      </w:r>
    </w:p>
    <w:p w14:paraId="034CACB6" w14:textId="77777777" w:rsidR="00095896" w:rsidRDefault="00095896"/>
    <w:p w14:paraId="7003D89A" w14:textId="2BD9F969" w:rsidR="0022195C" w:rsidRDefault="00E434BE" w:rsidP="00E434BE">
      <w:r>
        <w:rPr>
          <w:i/>
        </w:rPr>
        <w:t>How will you do it</w:t>
      </w:r>
      <w:r>
        <w:t>?</w:t>
      </w:r>
      <w:r w:rsidR="009E4A58">
        <w:t xml:space="preserve"> </w:t>
      </w:r>
      <w:r w:rsidR="00095896">
        <w:t>Looks pretty easy:</w:t>
      </w:r>
    </w:p>
    <w:p w14:paraId="6ECDEE61" w14:textId="526466B8" w:rsidR="00095896" w:rsidRDefault="0029795F" w:rsidP="00E434BE">
      <w:pPr>
        <w:rPr>
          <w:rFonts w:eastAsia="Times New Roman"/>
        </w:rPr>
      </w:pPr>
      <w:hyperlink r:id="rId6" w:history="1">
        <w:proofErr w:type="spellStart"/>
        <w:proofErr w:type="gramStart"/>
        <w:r w:rsidR="00095896">
          <w:rPr>
            <w:rStyle w:val="Hyperlink"/>
            <w:rFonts w:eastAsia="Times New Roman"/>
          </w:rPr>
          <w:t>wtd.cors</w:t>
        </w:r>
        <w:proofErr w:type="spellEnd"/>
        <w:proofErr w:type="gramEnd"/>
      </w:hyperlink>
    </w:p>
    <w:p w14:paraId="70C578A8" w14:textId="7CC20E7C" w:rsidR="00095896" w:rsidRDefault="00095896" w:rsidP="00E434BE">
      <w:pPr>
        <w:rPr>
          <w:rFonts w:eastAsia="Times New Roman"/>
        </w:rPr>
      </w:pPr>
      <w:r>
        <w:rPr>
          <w:rFonts w:eastAsia="Times New Roman"/>
        </w:rPr>
        <w:t>but I’d like you also to run it using</w:t>
      </w:r>
    </w:p>
    <w:p w14:paraId="769993A5" w14:textId="6B337BC6" w:rsidR="00095896" w:rsidRDefault="0029795F" w:rsidP="00E434BE">
      <w:pPr>
        <w:rPr>
          <w:rFonts w:eastAsia="Times New Roman"/>
        </w:rPr>
      </w:pPr>
      <w:hyperlink r:id="rId7" w:history="1">
        <w:proofErr w:type="spellStart"/>
        <w:r w:rsidR="00095896">
          <w:rPr>
            <w:rStyle w:val="Hyperlink"/>
            <w:rFonts w:eastAsia="Times New Roman"/>
          </w:rPr>
          <w:t>wtd.cor</w:t>
        </w:r>
        <w:proofErr w:type="spellEnd"/>
      </w:hyperlink>
      <w:r w:rsidR="00095896">
        <w:rPr>
          <w:rFonts w:eastAsia="Times New Roman"/>
        </w:rPr>
        <w:t xml:space="preserve">  </w:t>
      </w:r>
    </w:p>
    <w:p w14:paraId="15024E76" w14:textId="6EF799F3" w:rsidR="00095896" w:rsidRDefault="00095896" w:rsidP="00E434BE">
      <w:pPr>
        <w:rPr>
          <w:rFonts w:eastAsia="Times New Roman"/>
        </w:rPr>
      </w:pPr>
      <w:r>
        <w:rPr>
          <w:rFonts w:eastAsia="Times New Roman"/>
        </w:rPr>
        <w:t>which looks like the same thing, but is a more complex version with more options.</w:t>
      </w:r>
    </w:p>
    <w:p w14:paraId="0FD14AE9" w14:textId="10963EE5" w:rsidR="00095896" w:rsidRDefault="00095896" w:rsidP="00E434BE">
      <w:r>
        <w:rPr>
          <w:rFonts w:eastAsia="Times New Roman"/>
        </w:rPr>
        <w:t xml:space="preserve">Run it with mean1=TRUE (which forces the weight to have an average value of 1) and see if you get the same result as in </w:t>
      </w:r>
      <w:hyperlink r:id="rId8" w:history="1">
        <w:proofErr w:type="spellStart"/>
        <w:r>
          <w:rPr>
            <w:rStyle w:val="Hyperlink"/>
            <w:rFonts w:eastAsia="Times New Roman"/>
          </w:rPr>
          <w:t>wtd.cors</w:t>
        </w:r>
        <w:proofErr w:type="spellEnd"/>
      </w:hyperlink>
    </w:p>
    <w:p w14:paraId="40F63E55" w14:textId="77777777" w:rsidR="0022195C" w:rsidRPr="00426969" w:rsidRDefault="0022195C"/>
    <w:sectPr w:rsidR="0022195C" w:rsidRPr="00426969" w:rsidSect="00C6480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33E09" w14:textId="77777777" w:rsidR="0029795F" w:rsidRDefault="0029795F" w:rsidP="00426969">
      <w:r>
        <w:separator/>
      </w:r>
    </w:p>
  </w:endnote>
  <w:endnote w:type="continuationSeparator" w:id="0">
    <w:p w14:paraId="26D488AE" w14:textId="77777777" w:rsidR="0029795F" w:rsidRDefault="0029795F" w:rsidP="00426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B16AF" w14:textId="77777777" w:rsidR="0029795F" w:rsidRDefault="0029795F" w:rsidP="00426969">
      <w:r>
        <w:separator/>
      </w:r>
    </w:p>
  </w:footnote>
  <w:footnote w:type="continuationSeparator" w:id="0">
    <w:p w14:paraId="05C041B4" w14:textId="77777777" w:rsidR="0029795F" w:rsidRDefault="0029795F" w:rsidP="00426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EFC9E" w14:textId="321A6C5E" w:rsidR="00095896" w:rsidRPr="006B24E5" w:rsidRDefault="00095896" w:rsidP="006B24E5">
    <w:pPr>
      <w:pStyle w:val="Header"/>
    </w:pPr>
    <w:r w:rsidRPr="006B24E5">
      <w:rPr>
        <w:b/>
      </w:rPr>
      <w:t>Analytic Memo – weighted and unweighted correlations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58"/>
    <w:rsid w:val="00095896"/>
    <w:rsid w:val="001E7EDC"/>
    <w:rsid w:val="001F0854"/>
    <w:rsid w:val="0022195C"/>
    <w:rsid w:val="0029795F"/>
    <w:rsid w:val="00426969"/>
    <w:rsid w:val="005377D3"/>
    <w:rsid w:val="00594C00"/>
    <w:rsid w:val="0067544C"/>
    <w:rsid w:val="006A506D"/>
    <w:rsid w:val="006B24E5"/>
    <w:rsid w:val="009A3EE5"/>
    <w:rsid w:val="009E4A58"/>
    <w:rsid w:val="00A17EC0"/>
    <w:rsid w:val="00A51751"/>
    <w:rsid w:val="00A74323"/>
    <w:rsid w:val="00A87637"/>
    <w:rsid w:val="00B06C8A"/>
    <w:rsid w:val="00BC146C"/>
    <w:rsid w:val="00C6480B"/>
    <w:rsid w:val="00CC484E"/>
    <w:rsid w:val="00D929FA"/>
    <w:rsid w:val="00DF55B2"/>
    <w:rsid w:val="00E14EA4"/>
    <w:rsid w:val="00E43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19DB65"/>
  <w14:defaultImageDpi w14:val="300"/>
  <w15:docId w15:val="{C40C6ECE-C161-D146-98FE-2262D22C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969"/>
    <w:pPr>
      <w:tabs>
        <w:tab w:val="center" w:pos="4320"/>
        <w:tab w:val="right" w:pos="8640"/>
      </w:tabs>
    </w:pPr>
  </w:style>
  <w:style w:type="character" w:customStyle="1" w:styleId="HeaderChar">
    <w:name w:val="Header Char"/>
    <w:basedOn w:val="DefaultParagraphFont"/>
    <w:link w:val="Header"/>
    <w:uiPriority w:val="99"/>
    <w:rsid w:val="00426969"/>
  </w:style>
  <w:style w:type="paragraph" w:styleId="Footer">
    <w:name w:val="footer"/>
    <w:basedOn w:val="Normal"/>
    <w:link w:val="FooterChar"/>
    <w:uiPriority w:val="99"/>
    <w:unhideWhenUsed/>
    <w:rsid w:val="00426969"/>
    <w:pPr>
      <w:tabs>
        <w:tab w:val="center" w:pos="4320"/>
        <w:tab w:val="right" w:pos="8640"/>
      </w:tabs>
    </w:pPr>
  </w:style>
  <w:style w:type="character" w:customStyle="1" w:styleId="FooterChar">
    <w:name w:val="Footer Char"/>
    <w:basedOn w:val="DefaultParagraphFont"/>
    <w:link w:val="Footer"/>
    <w:uiPriority w:val="99"/>
    <w:rsid w:val="00426969"/>
  </w:style>
  <w:style w:type="table" w:styleId="TableGrid">
    <w:name w:val="Table Grid"/>
    <w:basedOn w:val="TableNormal"/>
    <w:uiPriority w:val="59"/>
    <w:rsid w:val="006B2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ify">
    <w:name w:val="linkify"/>
    <w:basedOn w:val="DefaultParagraphFont"/>
    <w:rsid w:val="00D929FA"/>
  </w:style>
  <w:style w:type="character" w:styleId="Hyperlink">
    <w:name w:val="Hyperlink"/>
    <w:basedOn w:val="DefaultParagraphFont"/>
    <w:uiPriority w:val="99"/>
    <w:semiHidden/>
    <w:unhideWhenUsed/>
    <w:rsid w:val="000958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781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weights/versions/1.0.1/topics/wtd.cors" TargetMode="External"/><Relationship Id="rId3" Type="http://schemas.openxmlformats.org/officeDocument/2006/relationships/webSettings" Target="webSettings.xml"/><Relationship Id="rId7" Type="http://schemas.openxmlformats.org/officeDocument/2006/relationships/hyperlink" Target="https://www.rdocumentation.org/packages/weights/versions/1.0.1/topics/wtd.c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documentation.org/packages/weights/versions/1.0.1/topics/wtd.cor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1830</Characters>
  <Application>Microsoft Office Word</Application>
  <DocSecurity>0</DocSecurity>
  <Lines>15</Lines>
  <Paragraphs>4</Paragraphs>
  <ScaleCrop>false</ScaleCrop>
  <Company>The Dartmouth Institute</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Gilbert Welch</dc:creator>
  <cp:keywords/>
  <dc:description/>
  <cp:lastModifiedBy>Heather Welch</cp:lastModifiedBy>
  <cp:revision>2</cp:revision>
  <dcterms:created xsi:type="dcterms:W3CDTF">2020-04-15T15:16:00Z</dcterms:created>
  <dcterms:modified xsi:type="dcterms:W3CDTF">2020-04-15T15:16:00Z</dcterms:modified>
</cp:coreProperties>
</file>