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statut juridique 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La forme juridique d’Ankama est : Société par action simplifié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champs d’action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Son champs d’action est internationale car ses jeux sont disponible à travers le monde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finalité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La finalité est purement économique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missions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La mission principale d’Ankama est la production de divertissement tout en réduisant l’impact carbone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ressources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Les ressources dont elle dispose sont les ressources humaines et économique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2245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Mathis Magnier</w:t>
      <w:tab/>
      <w:t xml:space="preserve">Fiche signalétique</w:t>
      <w:tab/>
      <w:t xml:space="preserve">S1-F</w:t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Timothée Varin </w:t>
    </w:r>
  </w:p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Sofiane Ben Hamra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