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OUTILS D’ANALYSE DES RISQUES</w:t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5"/>
        <w:gridCol w:w="2265"/>
        <w:gridCol w:w="2266"/>
        <w:gridCol w:w="2266"/>
        <w:tblGridChange w:id="0">
          <w:tblGrid>
            <w:gridCol w:w="2265"/>
            <w:gridCol w:w="2265"/>
            <w:gridCol w:w="2266"/>
            <w:gridCol w:w="2266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RISQUES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PROBABILITÉ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Pandémie national/guerre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Très peu probable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Mouvement des utilisateurs limité et changement de comportement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Gravité lourde, l’application sera peu/pas utilisé pendant ce moment 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Indisponibilité matériel informatique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Peu fréquent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Indisponibilité des service temporaire de l’application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Gravité légère à moyenne suivant l’indisponibilité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Concurrence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Fort probable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Infidélité de la </w:t>
            </w:r>
            <w:r w:rsidDel="00000000" w:rsidR="00000000" w:rsidRPr="00000000">
              <w:rPr>
                <w:rtl w:val="0"/>
              </w:rPr>
              <w:t xml:space="preserve">clientelle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Gravité moyenne, le chiffre d’affaire serait moins élevé mais ne mettra pas le projet à l'arrêt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“Bad buzz”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Peu probable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Perte de la clientèle voir procédure judiciaire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Lourde, probabilité de perdre des utilisateurs et ou être portée en justice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NB. Faire une représentation graphique de l’analyse de la gravité des risques identifiés dans l’espace ci-dessous 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1830"/>
        <w:gridCol w:w="1455"/>
        <w:gridCol w:w="1665"/>
        <w:gridCol w:w="1680"/>
        <w:gridCol w:w="1785"/>
        <w:tblGridChange w:id="0">
          <w:tblGrid>
            <w:gridCol w:w="2010"/>
            <w:gridCol w:w="1830"/>
            <w:gridCol w:w="1455"/>
            <w:gridCol w:w="1665"/>
            <w:gridCol w:w="1680"/>
            <w:gridCol w:w="17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RISQUES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EFFETS SUR LE PROJET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MESURES PREVENTIVES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MESURES CURATIVES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COÛTS</w:t>
            </w:r>
          </w:p>
        </w:tc>
      </w:tr>
      <w:tr>
        <w:trPr>
          <w:cantSplit w:val="0"/>
          <w:trHeight w:val="18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Risque pandémique/guerre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Baisse nette de la clientèle voir des services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Aucune mesure préventive n’est possible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La perte potentiel du projets/entreprise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Dès les services à nouveau disponible aidé les populations 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Dépends grandement des impacts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Indisponibilité matérielle 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Ralentissement des services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Un opérateur fiable tout comme du matériel fiable 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Inclus par le budget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honnête et directe 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15.80€/h pour un community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Concurrence 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Perte de clients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Toujours avoir une longueur d’avance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Aucun coût supplémentaire 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Proposition de service supplémentaire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Heure supplémentaire pour les salarié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“Bad buzz”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Perte de client, procédure judiciaire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Modération active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Inclus par le budget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honnête et directe 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15.80€/h pour un community managers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39"/>
    <w:rsid w:val="00D041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j1uTYp5b1dcee5lK2zEtWzVYkA==">CgMxLjA4AHIhMWs4aUdIaFhxM0owZmNoTllVbEhYbXBxbFluR2g1cGFY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2024-03-03T20:10:00Z</dcterms:created>
  <dc:creator>TOUT</dc:creator>
</cp:coreProperties>
</file>