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pPr>
      <w:r>
        <w:rPr>
          <w:sz w:val="22"/>
          <w:szCs w:val="22"/>
        </w:rPr>
        <w:t xml:space="preserve"/>
      </w:r>
    </w:p>
    <w:p>
      <w:pPr>
        <w:spacing w:after="120" w:before="0"/>
        <w:jc w:val="center"/>
      </w:pPr>
      <w:r>
        <w:rPr>
          <w:rFonts w:ascii="Calibri" w:cs="Calibri" w:eastAsia="Calibri" w:hAnsi="Calibri"/>
          <w:b/>
          <w:bCs/>
          <w:color w:val="1D4ED8"/>
          <w:sz w:val="64"/>
          <w:szCs w:val="64"/>
        </w:rPr>
        <w:t xml:space="preserve">TECHNICAL REPORT</w:t>
      </w:r>
    </w:p>
    <w:p>
      <w:pPr>
        <w:spacing w:after="160" w:before="0"/>
        <w:jc w:val="center"/>
      </w:pPr>
      <w:r>
        <w:rPr>
          <w:rFonts w:ascii="Calibri" w:cs="Calibri" w:eastAsia="Calibri" w:hAnsi="Calibri"/>
          <w:b/>
          <w:bCs/>
          <w:color w:val="0F172A"/>
          <w:sz w:val="44"/>
          <w:szCs w:val="44"/>
        </w:rPr>
        <w:t xml:space="preserve">GameFi Economy Protocol</w:t>
      </w:r>
    </w:p>
    <w:p>
      <w:pPr>
        <w:spacing w:after="80" w:before="0"/>
        <w:jc w:val="center"/>
      </w:pPr>
      <w:r>
        <w:rPr>
          <w:rFonts w:ascii="Calibri" w:cs="Calibri" w:eastAsia="Calibri" w:hAnsi="Calibri"/>
          <w:color w:val="475569"/>
          <w:sz w:val="28"/>
          <w:szCs w:val="28"/>
        </w:rPr>
        <w:t xml:space="preserve">Decentralized L2 Blockchain Gaming Economy</w:t>
      </w:r>
    </w:p>
    <w:p>
      <w:pPr>
        <w:spacing w:after="120" w:before="0"/>
      </w:pPr>
      <w:r>
        <w:rPr>
          <w:sz w:val="22"/>
          <w:szCs w:val="22"/>
        </w:rPr>
        <w:t xml:space="preserve"/>
      </w:r>
    </w:p>
    <w:p>
      <w:pPr>
        <w:spacing w:after="60" w:before="80"/>
        <w:jc w:val="center"/>
      </w:pPr>
      <w:r>
        <w:rPr>
          <w:rFonts w:ascii="Calibri" w:cs="Calibri" w:eastAsia="Calibri" w:hAnsi="Calibri"/>
          <w:color w:val="64748B"/>
          <w:sz w:val="24"/>
          <w:szCs w:val="24"/>
        </w:rPr>
        <w:t xml:space="preserve">Blockchain Technologies 2 — Final Project (Option B)</w:t>
      </w:r>
    </w:p>
    <w:p>
      <w:pPr>
        <w:spacing w:after="60" w:before="0"/>
        <w:jc w:val="center"/>
      </w:pPr>
      <w:r>
        <w:rPr>
          <w:rFonts w:ascii="Calibri" w:cs="Calibri" w:eastAsia="Calibri" w:hAnsi="Calibri"/>
          <w:color w:val="64748B"/>
          <w:sz w:val="24"/>
          <w:szCs w:val="24"/>
        </w:rPr>
        <w:t xml:space="preserve">Astana IT University (AITU) — Group SE-2421</w:t>
      </w:r>
    </w:p>
    <w:p>
      <w:pPr>
        <w:spacing w:after="120" w:before="0"/>
      </w:pPr>
      <w:r>
        <w:rPr>
          <w:sz w:val="22"/>
          <w:szCs w:val="22"/>
        </w:rPr>
        <w:t xml:space="preserve"/>
      </w:r>
    </w:p>
    <w:p>
      <w:pPr>
        <w:spacing w:after="40" w:before="80"/>
        <w:jc w:val="center"/>
      </w:pPr>
      <w:r>
        <w:rPr>
          <w:rFonts w:ascii="Calibri" w:cs="Calibri" w:eastAsia="Calibri" w:hAnsi="Calibri"/>
          <w:b/>
          <w:bCs/>
          <w:color w:val="0891B2"/>
          <w:sz w:val="26"/>
          <w:szCs w:val="26"/>
        </w:rPr>
        <w:t xml:space="preserve">Authors</w:t>
      </w:r>
    </w:p>
    <w:p>
      <w:pPr>
        <w:spacing w:after="40" w:before="40"/>
        <w:jc w:val="center"/>
      </w:pPr>
      <w:r>
        <w:rPr>
          <w:rFonts w:ascii="Calibri" w:cs="Calibri" w:eastAsia="Calibri" w:hAnsi="Calibri"/>
          <w:b/>
          <w:bCs/>
          <w:color w:val="0F172A"/>
          <w:sz w:val="24"/>
          <w:szCs w:val="24"/>
        </w:rPr>
        <w:t xml:space="preserve">Gizatov Diar</w:t>
      </w:r>
      <w:r>
        <w:rPr>
          <w:rFonts w:ascii="Calibri" w:cs="Calibri" w:eastAsia="Calibri" w:hAnsi="Calibri"/>
          <w:color w:val="475569"/>
          <w:sz w:val="22"/>
          <w:szCs w:val="22"/>
        </w:rPr>
        <w:t xml:space="preserve"> — Smart Contracts: GameAMM, GameVault, GameFactory — Testing</w:t>
      </w:r>
    </w:p>
    <w:p>
      <w:pPr>
        <w:spacing w:after="40" w:before="40"/>
        <w:jc w:val="center"/>
      </w:pPr>
      <w:r>
        <w:rPr>
          <w:rFonts w:ascii="Calibri" w:cs="Calibri" w:eastAsia="Calibri" w:hAnsi="Calibri"/>
          <w:b/>
          <w:bCs/>
          <w:color w:val="0F172A"/>
          <w:sz w:val="24"/>
          <w:szCs w:val="24"/>
        </w:rPr>
        <w:t xml:space="preserve">Rymbaev Eskendir</w:t>
      </w:r>
      <w:r>
        <w:rPr>
          <w:rFonts w:ascii="Calibri" w:cs="Calibri" w:eastAsia="Calibri" w:hAnsi="Calibri"/>
          <w:color w:val="475569"/>
          <w:sz w:val="22"/>
          <w:szCs w:val="22"/>
        </w:rPr>
        <w:t xml:space="preserve"> — Frontend, Subgraph, Deployment &amp; DevOps</w:t>
      </w:r>
    </w:p>
    <w:p>
      <w:pPr>
        <w:spacing w:after="40" w:before="40"/>
        <w:jc w:val="center"/>
      </w:pPr>
      <w:r>
        <w:rPr>
          <w:rFonts w:ascii="Calibri" w:cs="Calibri" w:eastAsia="Calibri" w:hAnsi="Calibri"/>
          <w:b/>
          <w:bCs/>
          <w:color w:val="0F172A"/>
          <w:sz w:val="24"/>
          <w:szCs w:val="24"/>
        </w:rPr>
        <w:t xml:space="preserve">Kalieva Nazerke</w:t>
      </w:r>
      <w:r>
        <w:rPr>
          <w:rFonts w:ascii="Calibri" w:cs="Calibri" w:eastAsia="Calibri" w:hAnsi="Calibri"/>
          <w:color w:val="475569"/>
          <w:sz w:val="22"/>
          <w:szCs w:val="22"/>
        </w:rPr>
        <w:t xml:space="preserve"> — Governance: GameDAO, GameToken — Security Audit</w:t>
      </w:r>
    </w:p>
    <w:p>
      <w:pPr>
        <w:spacing w:after="120" w:before="0"/>
      </w:pPr>
      <w:r>
        <w:rPr>
          <w:sz w:val="22"/>
          <w:szCs w:val="22"/>
        </w:rPr>
        <w:t xml:space="preserve"/>
      </w:r>
    </w:p>
    <w:p>
      <w:pPr>
        <w:spacing w:after="40" w:before="80"/>
        <w:jc w:val="center"/>
      </w:pPr>
      <w:r>
        <w:rPr>
          <w:rFonts w:ascii="Calibri" w:cs="Calibri" w:eastAsia="Calibri" w:hAnsi="Calibri"/>
          <w:color w:val="1D4ED8"/>
          <w:sz w:val="22"/>
          <w:szCs w:val="22"/>
        </w:rPr>
        <w:t xml:space="preserve">GitHub: github.com/Heb1ks/BlockFINAL2-</w:t>
      </w:r>
    </w:p>
    <w:p>
      <w:pPr>
        <w:spacing w:after="0" w:before="0"/>
        <w:jc w:val="center"/>
      </w:pPr>
      <w:r>
        <w:rPr>
          <w:rFonts w:ascii="Calibri" w:cs="Calibri" w:eastAsia="Calibri" w:hAnsi="Calibri"/>
          <w:color w:val="475569"/>
          <w:sz w:val="22"/>
          <w:szCs w:val="22"/>
        </w:rPr>
        <w:t xml:space="preserve">Network: Arbitrum Sepolia · Chain ID: 421614</w:t>
      </w:r>
    </w:p>
    <w:p>
      <w:r>
        <w:br w:type="page"/>
      </w:r>
    </w:p>
    <w:p>
      <w:pPr>
        <w:pStyle w:val="Heading1"/>
        <w:pBdr>
          <w:bottom w:val="single" w:color="1D4ED8" w:sz="4" w:space="6"/>
        </w:pBdr>
        <w:spacing w:after="200" w:before="480"/>
      </w:pPr>
      <w:r>
        <w:rPr>
          <w:rFonts w:ascii="Calibri" w:cs="Calibri" w:eastAsia="Calibri" w:hAnsi="Calibri"/>
          <w:b/>
          <w:bCs/>
          <w:color w:val="1D4ED8"/>
          <w:sz w:val="40"/>
          <w:szCs w:val="40"/>
        </w:rPr>
        <w:t xml:space="preserve">1. Introduction &amp; Project Scope</w:t>
      </w:r>
    </w:p>
    <w:p>
      <w:pPr>
        <w:pStyle w:val="Heading2"/>
        <w:spacing w:after="140" w:before="320"/>
      </w:pPr>
      <w:r>
        <w:rPr>
          <w:rFonts w:ascii="Calibri" w:cs="Calibri" w:eastAsia="Calibri" w:hAnsi="Calibri"/>
          <w:b/>
          <w:bCs/>
          <w:color w:val="0F172A"/>
          <w:sz w:val="30"/>
          <w:szCs w:val="30"/>
        </w:rPr>
        <w:t xml:space="preserve">1.1 Project Background</w:t>
      </w:r>
    </w:p>
    <w:p>
      <w:pPr>
        <w:spacing w:after="120" w:before="40"/>
      </w:pPr>
      <w:r>
        <w:rPr>
          <w:rFonts w:ascii="Calibri" w:cs="Calibri" w:eastAsia="Calibri" w:hAnsi="Calibri"/>
          <w:color w:val="0F172A"/>
          <w:sz w:val="22"/>
          <w:szCs w:val="22"/>
        </w:rPr>
        <w:t xml:space="preserve">GameFi Economy Protocol is a production-grade decentralized blockchain gaming infrastructure developed as the Blockchain Technologies 2 Final Project (Option B) at Astana IT University. The project delivers a complete on-chain economic layer for a blockchain game, including in-game currency, NFT items, a decentralized exchange, NFT rental marketplace, provably fair loot distribution, yield vaults, and DAO governance — all deployed and verified on Arbitrum Sepolia (Layer 2).</w:t>
      </w:r>
    </w:p>
    <w:p>
      <w:pPr>
        <w:spacing w:after="120" w:before="0"/>
      </w:pPr>
      <w:r>
        <w:rPr>
          <w:sz w:val="22"/>
          <w:szCs w:val="22"/>
        </w:rPr>
        <w:t xml:space="preserve"/>
      </w:r>
    </w:p>
    <w:p>
      <w:pPr>
        <w:spacing w:after="120" w:before="40"/>
      </w:pPr>
      <w:r>
        <w:rPr>
          <w:rFonts w:ascii="Calibri" w:cs="Calibri" w:eastAsia="Calibri" w:hAnsi="Calibri"/>
          <w:color w:val="0F172A"/>
          <w:sz w:val="22"/>
          <w:szCs w:val="22"/>
        </w:rPr>
        <w:t xml:space="preserve">The fundamental challenge addressed by this project is the high cost and latency of blockchain gaming on Ethereum Mainnet. By deploying on Arbitrum Sepolia (an Optimistic Rollup), transactions are processed approximately 10x cheaper while maintaining full EVM compatibility and Ethereum-level security guarantees. Players can interact with the protocol — swapping resources, renting items, earning yield, requesting loot — at a fraction of the cost compared to L1.</w:t>
      </w:r>
    </w:p>
    <w:p>
      <w:pPr>
        <w:spacing w:after="120" w:before="0"/>
      </w:pPr>
      <w:r>
        <w:rPr>
          <w:sz w:val="22"/>
          <w:szCs w:val="22"/>
        </w:rPr>
        <w:t xml:space="preserve"/>
      </w:r>
    </w:p>
    <w:p>
      <w:pPr>
        <w:pStyle w:val="Heading2"/>
        <w:spacing w:after="140" w:before="320"/>
      </w:pPr>
      <w:r>
        <w:rPr>
          <w:rFonts w:ascii="Calibri" w:cs="Calibri" w:eastAsia="Calibri" w:hAnsi="Calibri"/>
          <w:b/>
          <w:bCs/>
          <w:color w:val="0F172A"/>
          <w:sz w:val="30"/>
          <w:szCs w:val="30"/>
        </w:rPr>
        <w:t xml:space="preserve">1.2 Project Goals</w:t>
      </w:r>
    </w:p>
    <w:p>
      <w:pPr>
        <w:pStyle w:val="ListParagraph"/>
        <w:numPr>
          <w:ilvl w:val="0"/>
          <w:numId w:val="2"/>
        </w:numPr>
        <w:spacing w:after="60" w:before="30"/>
      </w:pPr>
      <w:r>
        <w:rPr>
          <w:rFonts w:ascii="Calibri" w:cs="Calibri" w:eastAsia="Calibri" w:hAnsi="Calibri"/>
          <w:color w:val="0F172A"/>
          <w:sz w:val="22"/>
          <w:szCs w:val="22"/>
        </w:rPr>
        <w:t xml:space="preserve">Design and implement a complete decentralized gaming economy with 10 interoperating smart contracts</w:t>
      </w:r>
    </w:p>
    <w:p>
      <w:pPr>
        <w:pStyle w:val="ListParagraph"/>
        <w:numPr>
          <w:ilvl w:val="0"/>
          <w:numId w:val="2"/>
        </w:numPr>
        <w:spacing w:after="60" w:before="30"/>
      </w:pPr>
      <w:r>
        <w:rPr>
          <w:rFonts w:ascii="Calibri" w:cs="Calibri" w:eastAsia="Calibri" w:hAnsi="Calibri"/>
          <w:color w:val="0F172A"/>
          <w:sz w:val="22"/>
          <w:szCs w:val="22"/>
        </w:rPr>
        <w:t xml:space="preserve">Achieve full compliance with all blockchain design requirements: UUPS proxy, factory pattern, AMM, ERC-4626, Chainlink VRF, OZ Governor, Timelock, Yul assembly</w:t>
      </w:r>
    </w:p>
    <w:p>
      <w:pPr>
        <w:pStyle w:val="ListParagraph"/>
        <w:numPr>
          <w:ilvl w:val="0"/>
          <w:numId w:val="2"/>
        </w:numPr>
        <w:spacing w:after="60" w:before="30"/>
      </w:pPr>
      <w:r>
        <w:rPr>
          <w:rFonts w:ascii="Calibri" w:cs="Calibri" w:eastAsia="Calibri" w:hAnsi="Calibri"/>
          <w:color w:val="0F172A"/>
          <w:sz w:val="22"/>
          <w:szCs w:val="22"/>
        </w:rPr>
        <w:t xml:space="preserve">Maintain production-grade security: zero High and zero Medium findings in security audit, Slither-clean source code</w:t>
      </w:r>
    </w:p>
    <w:p>
      <w:pPr>
        <w:pStyle w:val="ListParagraph"/>
        <w:numPr>
          <w:ilvl w:val="0"/>
          <w:numId w:val="2"/>
        </w:numPr>
        <w:spacing w:after="60" w:before="30"/>
      </w:pPr>
      <w:r>
        <w:rPr>
          <w:rFonts w:ascii="Calibri" w:cs="Calibri" w:eastAsia="Calibri" w:hAnsi="Calibri"/>
          <w:color w:val="0F172A"/>
          <w:sz w:val="22"/>
          <w:szCs w:val="22"/>
        </w:rPr>
        <w:t xml:space="preserve">Deliver comprehensive test coverage: 133 tests across unit, fuzz, invariant, and fork categories</w:t>
      </w:r>
    </w:p>
    <w:p>
      <w:pPr>
        <w:pStyle w:val="ListParagraph"/>
        <w:numPr>
          <w:ilvl w:val="0"/>
          <w:numId w:val="2"/>
        </w:numPr>
        <w:spacing w:after="60" w:before="30"/>
      </w:pPr>
      <w:r>
        <w:rPr>
          <w:rFonts w:ascii="Calibri" w:cs="Calibri" w:eastAsia="Calibri" w:hAnsi="Calibri"/>
          <w:color w:val="0F172A"/>
          <w:sz w:val="22"/>
          <w:szCs w:val="22"/>
        </w:rPr>
        <w:t xml:space="preserve">Deploy and verify all contracts on Arbitrum Sepolia with public Arbiscan verification</w:t>
      </w:r>
    </w:p>
    <w:p>
      <w:pPr>
        <w:pStyle w:val="ListParagraph"/>
        <w:numPr>
          <w:ilvl w:val="0"/>
          <w:numId w:val="2"/>
        </w:numPr>
        <w:spacing w:after="60" w:before="30"/>
      </w:pPr>
      <w:r>
        <w:rPr>
          <w:rFonts w:ascii="Calibri" w:cs="Calibri" w:eastAsia="Calibri" w:hAnsi="Calibri"/>
          <w:color w:val="0F172A"/>
          <w:sz w:val="22"/>
          <w:szCs w:val="22"/>
        </w:rPr>
        <w:t xml:space="preserve">Integrate The Graph subgraph for event indexing and provide documented GraphQL queries</w:t>
      </w:r>
    </w:p>
    <w:p>
      <w:pPr>
        <w:spacing w:after="120" w:before="0"/>
      </w:pPr>
      <w:r>
        <w:rPr>
          <w:sz w:val="22"/>
          <w:szCs w:val="22"/>
        </w:rPr>
        <w:t xml:space="preserve"/>
      </w:r>
    </w:p>
    <w:p>
      <w:pPr>
        <w:pStyle w:val="Heading2"/>
        <w:spacing w:after="140" w:before="320"/>
      </w:pPr>
      <w:r>
        <w:rPr>
          <w:rFonts w:ascii="Calibri" w:cs="Calibri" w:eastAsia="Calibri" w:hAnsi="Calibri"/>
          <w:b/>
          <w:bCs/>
          <w:color w:val="0F172A"/>
          <w:sz w:val="30"/>
          <w:szCs w:val="30"/>
        </w:rPr>
        <w:t xml:space="preserve">1.3 Team &amp;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520"/>
            <w:gridSpan w:val="1"/>
            <w:tcBorders>
              <w:top w:val="single" w:color="1D4ED8" w:sz="4"/>
              <w:left w:val="single" w:color="1D4ED8" w:sz="4"/>
              <w:bottom w:val="single" w:color="1D4ED8" w:sz="4"/>
              <w:right w:val="single" w:color="1D4ED8" w:sz="4"/>
            </w:tcBorders>
            <w:shd w:fill="1D4ED8" w:val="clear"/>
            <w:tcMar>
              <w:top w:type="dxa" w:w="80"/>
              <w:left w:type="dxa" w:w="120"/>
              <w:bottom w:type="dxa" w:w="80"/>
              <w:right w:type="dxa" w:w="120"/>
            </w:tcMar>
          </w:tcPr>
          <w:p>
            <w:r>
              <w:rPr>
                <w:rFonts w:ascii="Calibri" w:cs="Calibri" w:eastAsia="Calibri" w:hAnsi="Calibri"/>
                <w:b/>
                <w:bCs/>
                <w:color w:val="FFFFFF"/>
                <w:sz w:val="20"/>
                <w:szCs w:val="20"/>
              </w:rPr>
              <w:t xml:space="preserve">Member</w:t>
            </w:r>
          </w:p>
        </w:tc>
        <w:tc>
          <w:tcPr>
            <w:tcW w:type="dxa" w:w="4320"/>
            <w:gridSpan w:val="1"/>
            <w:tcBorders>
              <w:top w:val="single" w:color="1D4ED8" w:sz="4"/>
              <w:left w:val="single" w:color="1D4ED8" w:sz="4"/>
              <w:bottom w:val="single" w:color="1D4ED8" w:sz="4"/>
              <w:right w:val="single" w:color="1D4ED8" w:sz="4"/>
            </w:tcBorders>
            <w:shd w:fill="1D4ED8" w:val="clear"/>
            <w:tcMar>
              <w:top w:type="dxa" w:w="80"/>
              <w:left w:type="dxa" w:w="120"/>
              <w:bottom w:type="dxa" w:w="80"/>
              <w:right w:type="dxa" w:w="120"/>
            </w:tcMar>
          </w:tcPr>
          <w:p>
            <w:r>
              <w:rPr>
                <w:rFonts w:ascii="Calibri" w:cs="Calibri" w:eastAsia="Calibri" w:hAnsi="Calibri"/>
                <w:b/>
                <w:bCs/>
                <w:color w:val="FFFFFF"/>
                <w:sz w:val="20"/>
                <w:szCs w:val="20"/>
              </w:rPr>
              <w:t xml:space="preserve">Primary Responsibility</w:t>
            </w:r>
          </w:p>
        </w:tc>
        <w:tc>
          <w:tcPr>
            <w:tcW w:type="dxa" w:w="2520"/>
            <w:gridSpan w:val="1"/>
            <w:tcBorders>
              <w:top w:val="single" w:color="1D4ED8" w:sz="4"/>
              <w:left w:val="single" w:color="1D4ED8" w:sz="4"/>
              <w:bottom w:val="single" w:color="1D4ED8" w:sz="4"/>
              <w:right w:val="single" w:color="1D4ED8" w:sz="4"/>
            </w:tcBorders>
            <w:shd w:fill="1D4ED8" w:val="clear"/>
            <w:tcMar>
              <w:top w:type="dxa" w:w="80"/>
              <w:left w:type="dxa" w:w="120"/>
              <w:bottom w:type="dxa" w:w="80"/>
              <w:right w:type="dxa" w:w="120"/>
            </w:tcMar>
          </w:tcPr>
          <w:p>
            <w:r>
              <w:rPr>
                <w:rFonts w:ascii="Calibri" w:cs="Calibri" w:eastAsia="Calibri" w:hAnsi="Calibri"/>
                <w:b/>
                <w:bCs/>
                <w:color w:val="FFFFFF"/>
                <w:sz w:val="20"/>
                <w:szCs w:val="20"/>
              </w:rPr>
              <w:t xml:space="preserve">Contracts Owned</w:t>
            </w:r>
          </w:p>
        </w:tc>
      </w:tr>
      <w:tr>
        <w:tc>
          <w:tcPr>
            <w:tcW w:type="dxa" w:w="252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bCs/>
                <w:color w:val="1D4ED8"/>
                <w:sz w:val="19"/>
                <w:szCs w:val="19"/>
              </w:rPr>
              <w:t xml:space="preserve">Gizatov Diar</w:t>
            </w:r>
          </w:p>
        </w:tc>
        <w:tc>
          <w:tcPr>
            <w:tcW w:type="dxa" w:w="432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Smart contracts (GameAMM, GameVault, GameFactory), testing suite</w:t>
            </w:r>
          </w:p>
        </w:tc>
        <w:tc>
          <w:tcPr>
            <w:tcW w:type="dxa" w:w="252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GameAMM, GameVault, GameFactory</w:t>
            </w:r>
          </w:p>
        </w:tc>
      </w:tr>
      <w:tr>
        <w:tc>
          <w:tcPr>
            <w:tcW w:type="dxa" w:w="252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center"/>
          </w:tcPr>
          <w:p>
            <w:pPr>
              <w:jc w:val="left"/>
            </w:pPr>
            <w:r>
              <w:rPr>
                <w:rFonts w:ascii="Calibri" w:cs="Calibri" w:eastAsia="Calibri" w:hAnsi="Calibri"/>
                <w:b/>
                <w:bCs/>
                <w:color w:val="0891B2"/>
                <w:sz w:val="19"/>
                <w:szCs w:val="19"/>
              </w:rPr>
              <w:t xml:space="preserve">Rymbaev Eskendir</w:t>
            </w:r>
          </w:p>
        </w:tc>
        <w:tc>
          <w:tcPr>
            <w:tcW w:type="dxa" w:w="432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Frontend application, The Graph subgraph, deployment &amp; DevOps</w:t>
            </w:r>
          </w:p>
        </w:tc>
        <w:tc>
          <w:tcPr>
            <w:tcW w:type="dxa" w:w="252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Deployment scripts, Subgraph</w:t>
            </w:r>
          </w:p>
        </w:tc>
      </w:tr>
      <w:tr>
        <w:tc>
          <w:tcPr>
            <w:tcW w:type="dxa" w:w="252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bCs/>
                <w:color w:val="0F766E"/>
                <w:sz w:val="19"/>
                <w:szCs w:val="19"/>
              </w:rPr>
              <w:t xml:space="preserve">Kalieva Nazerke</w:t>
            </w:r>
          </w:p>
        </w:tc>
        <w:tc>
          <w:tcPr>
            <w:tcW w:type="dxa" w:w="432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Governance (GameDAO, GameToken), security audit, documentation</w:t>
            </w:r>
          </w:p>
        </w:tc>
        <w:tc>
          <w:tcPr>
            <w:tcW w:type="dxa" w:w="252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GameDAO, TimelockController, GameToken</w:t>
            </w:r>
          </w:p>
        </w:tc>
      </w:tr>
    </w:tbl>
    <w:p>
      <w:pPr>
        <w:spacing w:after="120" w:before="0"/>
      </w:pPr>
      <w:r>
        <w:rPr>
          <w:sz w:val="22"/>
          <w:szCs w:val="22"/>
        </w:rPr>
        <w:t xml:space="preserve"/>
      </w:r>
    </w:p>
    <w:p>
      <w:pPr>
        <w:pStyle w:val="Heading2"/>
        <w:spacing w:after="140" w:before="320"/>
      </w:pPr>
      <w:r>
        <w:rPr>
          <w:rFonts w:ascii="Calibri" w:cs="Calibri" w:eastAsia="Calibri" w:hAnsi="Calibri"/>
          <w:b/>
          <w:bCs/>
          <w:color w:val="0F172A"/>
          <w:sz w:val="30"/>
          <w:szCs w:val="30"/>
        </w:rPr>
        <w:t xml:space="preserve">1.4 Deployed Network</w:t>
      </w:r>
    </w:p>
    <w:p>
      <w:pPr>
        <w:pBdr>
          <w:left w:val="thick" w:color="1D4ED8" w:sz="12" w:space="8"/>
        </w:pBdr>
        <w:spacing w:after="100" w:before="100"/>
        <w:ind w:left="360" w:right="360"/>
      </w:pPr>
      <w:r>
        <w:rPr>
          <w:rFonts w:ascii="Calibri" w:cs="Calibri" w:eastAsia="Calibri" w:hAnsi="Calibri"/>
          <w:b/>
          <w:bCs/>
          <w:color w:val="1D4ED8"/>
          <w:sz w:val="22"/>
          <w:szCs w:val="22"/>
        </w:rPr>
        <w:t xml:space="preserve">Network: </w:t>
      </w:r>
      <w:r>
        <w:rPr>
          <w:rFonts w:ascii="Calibri" w:cs="Calibri" w:eastAsia="Calibri" w:hAnsi="Calibri"/>
          <w:color w:val="0F172A"/>
          <w:sz w:val="22"/>
          <w:szCs w:val="22"/>
        </w:rPr>
        <w:t xml:space="preserve">Arbitrum Sepolia · Chain ID: 421614 · All 10 contracts deployed and source-verified on Arbiscan</w:t>
      </w:r>
    </w:p>
    <w:p>
      <w:pPr>
        <w:spacing w:after="120" w:before="0"/>
      </w:pPr>
      <w:r>
        <w:rPr>
          <w:sz w:val="22"/>
          <w:szCs w:val="22"/>
        </w:rPr>
        <w:t xml:space="preserve"/>
      </w:r>
    </w:p>
    <w:p>
      <w:pPr>
        <w:pBdr>
          <w:left w:val="thick" w:color="0891B2" w:sz="12" w:space="8"/>
        </w:pBdr>
        <w:spacing w:after="100" w:before="100"/>
        <w:ind w:left="360" w:right="360"/>
      </w:pPr>
      <w:r>
        <w:rPr>
          <w:rFonts w:ascii="Calibri" w:cs="Calibri" w:eastAsia="Calibri" w:hAnsi="Calibri"/>
          <w:b/>
          <w:bCs/>
          <w:color w:val="0891B2"/>
          <w:sz w:val="22"/>
          <w:szCs w:val="22"/>
        </w:rPr>
        <w:t xml:space="preserve">GitHub: </w:t>
      </w:r>
      <w:r>
        <w:rPr>
          <w:rFonts w:ascii="Calibri" w:cs="Calibri" w:eastAsia="Calibri" w:hAnsi="Calibri"/>
          <w:color w:val="0F172A"/>
          <w:sz w:val="22"/>
          <w:szCs w:val="22"/>
        </w:rPr>
        <w:t xml:space="preserve">github.com/Heb1ks/BlockFINAL2- · Branch: test-and-deploy</w:t>
      </w:r>
    </w:p>
    <w:p>
      <w:pPr>
        <w:spacing w:after="120" w:before="0"/>
      </w:pPr>
      <w:r>
        <w:rPr>
          <w:sz w:val="22"/>
          <w:szCs w:val="22"/>
        </w:rPr>
        <w:t xml:space="preserve"/>
      </w:r>
    </w:p>
    <w:p>
      <w:pPr>
        <w:pBdr>
          <w:left w:val="thick" w:color="0F766E" w:sz="12" w:space="8"/>
        </w:pBdr>
        <w:spacing w:after="100" w:before="100"/>
        <w:ind w:left="360" w:right="360"/>
      </w:pPr>
      <w:r>
        <w:rPr>
          <w:rFonts w:ascii="Calibri" w:cs="Calibri" w:eastAsia="Calibri" w:hAnsi="Calibri"/>
          <w:b/>
          <w:bCs/>
          <w:color w:val="0F766E"/>
          <w:sz w:val="22"/>
          <w:szCs w:val="22"/>
        </w:rPr>
        <w:t xml:space="preserve">The Graph: </w:t>
      </w:r>
      <w:r>
        <w:rPr>
          <w:rFonts w:ascii="Calibri" w:cs="Calibri" w:eastAsia="Calibri" w:hAnsi="Calibri"/>
          <w:color w:val="0F172A"/>
          <w:sz w:val="22"/>
          <w:szCs w:val="22"/>
        </w:rPr>
        <w:t xml:space="preserve">gamefi-protocol v0.0.5 · DEPLOYED · SYNCED 100% · 9 indexed entities · Arbitrum Sepolia</w:t>
      </w:r>
    </w:p>
    <w:p>
      <w:pPr>
        <w:spacing w:after="120" w:before="0"/>
      </w:pPr>
      <w:r>
        <w:rPr>
          <w:sz w:val="22"/>
          <w:szCs w:val="22"/>
        </w:rPr>
        <w:t xml:space="preserve"/>
      </w:r>
    </w:p>
    <w:p>
      <w:r>
        <w:br w:type="page"/>
      </w:r>
    </w:p>
    <w:p>
      <w:pPr>
        <w:pStyle w:val="Heading1"/>
        <w:pBdr>
          <w:bottom w:val="single" w:color="1D4ED8" w:sz="4" w:space="6"/>
        </w:pBdr>
        <w:spacing w:after="200" w:before="480"/>
      </w:pPr>
      <w:r>
        <w:rPr>
          <w:rFonts w:ascii="Calibri" w:cs="Calibri" w:eastAsia="Calibri" w:hAnsi="Calibri"/>
          <w:b/>
          <w:bCs/>
          <w:color w:val="1D4ED8"/>
          <w:sz w:val="40"/>
          <w:szCs w:val="40"/>
        </w:rPr>
        <w:t xml:space="preserve">2. System Architecture &amp; Technical Stack</w:t>
      </w:r>
    </w:p>
    <w:p>
      <w:pPr>
        <w:pStyle w:val="Heading2"/>
        <w:spacing w:after="140" w:before="320"/>
      </w:pPr>
      <w:r>
        <w:rPr>
          <w:rFonts w:ascii="Calibri" w:cs="Calibri" w:eastAsia="Calibri" w:hAnsi="Calibri"/>
          <w:b/>
          <w:bCs/>
          <w:color w:val="0F172A"/>
          <w:sz w:val="30"/>
          <w:szCs w:val="30"/>
        </w:rPr>
        <w:t xml:space="preserve">2.1 Architecture Overview</w:t>
      </w:r>
    </w:p>
    <w:p>
      <w:pPr>
        <w:spacing w:after="120" w:before="40"/>
      </w:pPr>
      <w:r>
        <w:rPr>
          <w:rFonts w:ascii="Calibri" w:cs="Calibri" w:eastAsia="Calibri" w:hAnsi="Calibri"/>
          <w:color w:val="0F172A"/>
          <w:sz w:val="22"/>
          <w:szCs w:val="22"/>
        </w:rPr>
        <w:t xml:space="preserve">The GameFi Protocol is organized into three isolated functional layers, each with clear boundaries and well-defined interfaces. This layered architecture ensures separation of concerns, upgradability without cascading changes, and independent security auditing of each module.</w:t>
      </w:r>
    </w:p>
    <w:p>
      <w:pPr>
        <w:spacing w:after="120" w:before="0"/>
      </w:pPr>
      <w:r>
        <w:rPr>
          <w:sz w:val="22"/>
          <w:szCs w:val="22"/>
        </w:rPr>
        <w:t xml:space="preserve"/>
      </w:r>
    </w:p>
    <w:p>
      <w:pPr>
        <w:pStyle w:val="Heading3"/>
        <w:spacing w:after="100" w:before="240"/>
      </w:pPr>
      <w:r>
        <w:rPr>
          <w:rFonts w:ascii="Calibri" w:cs="Calibri" w:eastAsia="Calibri" w:hAnsi="Calibri"/>
          <w:b/>
          <w:bCs/>
          <w:color w:val="0891B2"/>
          <w:sz w:val="24"/>
          <w:szCs w:val="24"/>
        </w:rPr>
        <w:t xml:space="preserve">Layer 1 — Governance</w:t>
      </w:r>
    </w:p>
    <w:p>
      <w:pPr>
        <w:spacing w:after="120" w:before="40"/>
      </w:pPr>
      <w:r>
        <w:rPr>
          <w:rFonts w:ascii="Calibri" w:cs="Calibri" w:eastAsia="Calibri" w:hAnsi="Calibri"/>
          <w:color w:val="0F172A"/>
          <w:sz w:val="22"/>
          <w:szCs w:val="22"/>
        </w:rPr>
        <w:t xml:space="preserve">The Governance layer consists of GameToken (the ERC-20 voting and governance token), GameDAO (the OpenZeppelin Governor implementation), and TimelockController (the 2-day execution delay). All protocol parameter changes — drop rates, platform fees, crafting costs, contract upgrades — must pass through this governance pipeline.</w:t>
      </w:r>
    </w:p>
    <w:p>
      <w:pPr>
        <w:spacing w:after="120" w:before="0"/>
      </w:pPr>
      <w:r>
        <w:rPr>
          <w:sz w:val="22"/>
          <w:szCs w:val="22"/>
        </w:rPr>
        <w:t xml:space="preserve"/>
      </w:r>
    </w:p>
    <w:p>
      <w:pPr>
        <w:pStyle w:val="Heading3"/>
        <w:spacing w:after="100" w:before="240"/>
      </w:pPr>
      <w:r>
        <w:rPr>
          <w:rFonts w:ascii="Calibri" w:cs="Calibri" w:eastAsia="Calibri" w:hAnsi="Calibri"/>
          <w:b/>
          <w:bCs/>
          <w:color w:val="0891B2"/>
          <w:sz w:val="24"/>
          <w:szCs w:val="24"/>
        </w:rPr>
        <w:t xml:space="preserve">Layer 2 — Economy</w:t>
      </w:r>
    </w:p>
    <w:p>
      <w:pPr>
        <w:spacing w:after="120" w:before="40"/>
      </w:pPr>
      <w:r>
        <w:rPr>
          <w:rFonts w:ascii="Calibri" w:cs="Calibri" w:eastAsia="Calibri" w:hAnsi="Calibri"/>
          <w:color w:val="0F172A"/>
          <w:sz w:val="22"/>
          <w:szCs w:val="22"/>
        </w:rPr>
        <w:t xml:space="preserve">The Economy layer implements the financial mechanics of the protocol. GameAMM is a from-scratch constant-product automated market maker (x·y=k) for swapping fungible in-game resources. GameVault is an ERC-4626 tokenized yield vault where GAME stakers earn yield from protocol fees. NFTRentalVault is a non-custodial ERC-1155 item rental marketplace with a 5% platform fee.</w:t>
      </w:r>
    </w:p>
    <w:p>
      <w:pPr>
        <w:spacing w:after="120" w:before="0"/>
      </w:pPr>
      <w:r>
        <w:rPr>
          <w:sz w:val="22"/>
          <w:szCs w:val="22"/>
        </w:rPr>
        <w:t xml:space="preserve"/>
      </w:r>
    </w:p>
    <w:p>
      <w:pPr>
        <w:pStyle w:val="Heading3"/>
        <w:spacing w:after="100" w:before="240"/>
      </w:pPr>
      <w:r>
        <w:rPr>
          <w:rFonts w:ascii="Calibri" w:cs="Calibri" w:eastAsia="Calibri" w:hAnsi="Calibri"/>
          <w:b/>
          <w:bCs/>
          <w:color w:val="0891B2"/>
          <w:sz w:val="24"/>
          <w:szCs w:val="24"/>
        </w:rPr>
        <w:t xml:space="preserve">Layer 3 — Assets &amp; Infrastructure</w:t>
      </w:r>
    </w:p>
    <w:p>
      <w:pPr>
        <w:spacing w:after="120" w:before="40"/>
      </w:pPr>
      <w:r>
        <w:rPr>
          <w:rFonts w:ascii="Calibri" w:cs="Calibri" w:eastAsia="Calibri" w:hAnsi="Calibri"/>
          <w:color w:val="0F172A"/>
          <w:sz w:val="22"/>
          <w:szCs w:val="22"/>
        </w:rPr>
        <w:t xml:space="preserve">The Asset layer handles tokenized game items and deployment infrastructure. GameItems is an ERC-1155 multi-token contract with UUPS upgradeability (V1 base items, V2 adds on-chain crafting). LootDrop implements Chainlink VRF v2 for provably fair random item distribution. GameFactory deploys new GameItems and GameAMM instances using both CREATE and CREATE2 opcodes.</w:t>
      </w:r>
    </w:p>
    <w:p>
      <w:pPr>
        <w:spacing w:after="120" w:before="0"/>
      </w:pPr>
      <w:r>
        <w:rPr>
          <w:sz w:val="22"/>
          <w:szCs w:val="22"/>
        </w:rPr>
        <w:t xml:space="preserve"/>
      </w:r>
    </w:p>
    <w:p>
      <w:pPr>
        <w:pStyle w:val="Heading2"/>
        <w:spacing w:after="140" w:before="320"/>
      </w:pPr>
      <w:r>
        <w:rPr>
          <w:rFonts w:ascii="Calibri" w:cs="Calibri" w:eastAsia="Calibri" w:hAnsi="Calibri"/>
          <w:b/>
          <w:bCs/>
          <w:color w:val="0F172A"/>
          <w:sz w:val="30"/>
          <w:szCs w:val="30"/>
        </w:rPr>
        <w:t xml:space="preserve">2.2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160"/>
            <w:gridSpan w:val="1"/>
            <w:tcBorders>
              <w:top w:val="single" w:color="1D4ED8" w:sz="4"/>
              <w:left w:val="single" w:color="1D4ED8" w:sz="4"/>
              <w:bottom w:val="single" w:color="1D4ED8" w:sz="4"/>
              <w:right w:val="single" w:color="1D4ED8" w:sz="4"/>
            </w:tcBorders>
            <w:shd w:fill="1D4ED8" w:val="clear"/>
            <w:tcMar>
              <w:top w:type="dxa" w:w="80"/>
              <w:left w:type="dxa" w:w="120"/>
              <w:bottom w:type="dxa" w:w="80"/>
              <w:right w:type="dxa" w:w="120"/>
            </w:tcMar>
          </w:tcPr>
          <w:p>
            <w:r>
              <w:rPr>
                <w:rFonts w:ascii="Calibri" w:cs="Calibri" w:eastAsia="Calibri" w:hAnsi="Calibri"/>
                <w:b/>
                <w:bCs/>
                <w:color w:val="FFFFFF"/>
                <w:sz w:val="20"/>
                <w:szCs w:val="20"/>
              </w:rPr>
              <w:t xml:space="preserve">Category</w:t>
            </w:r>
          </w:p>
        </w:tc>
        <w:tc>
          <w:tcPr>
            <w:tcW w:type="dxa" w:w="3240"/>
            <w:gridSpan w:val="1"/>
            <w:tcBorders>
              <w:top w:val="single" w:color="1D4ED8" w:sz="4"/>
              <w:left w:val="single" w:color="1D4ED8" w:sz="4"/>
              <w:bottom w:val="single" w:color="1D4ED8" w:sz="4"/>
              <w:right w:val="single" w:color="1D4ED8" w:sz="4"/>
            </w:tcBorders>
            <w:shd w:fill="1D4ED8" w:val="clear"/>
            <w:tcMar>
              <w:top w:type="dxa" w:w="80"/>
              <w:left w:type="dxa" w:w="120"/>
              <w:bottom w:type="dxa" w:w="80"/>
              <w:right w:type="dxa" w:w="120"/>
            </w:tcMar>
          </w:tcPr>
          <w:p>
            <w:r>
              <w:rPr>
                <w:rFonts w:ascii="Calibri" w:cs="Calibri" w:eastAsia="Calibri" w:hAnsi="Calibri"/>
                <w:b/>
                <w:bCs/>
                <w:color w:val="FFFFFF"/>
                <w:sz w:val="20"/>
                <w:szCs w:val="20"/>
              </w:rPr>
              <w:t xml:space="preserve">Technology</w:t>
            </w:r>
          </w:p>
        </w:tc>
        <w:tc>
          <w:tcPr>
            <w:tcW w:type="dxa" w:w="3960"/>
            <w:gridSpan w:val="1"/>
            <w:tcBorders>
              <w:top w:val="single" w:color="1D4ED8" w:sz="4"/>
              <w:left w:val="single" w:color="1D4ED8" w:sz="4"/>
              <w:bottom w:val="single" w:color="1D4ED8" w:sz="4"/>
              <w:right w:val="single" w:color="1D4ED8" w:sz="4"/>
            </w:tcBorders>
            <w:shd w:fill="1D4ED8" w:val="clear"/>
            <w:tcMar>
              <w:top w:type="dxa" w:w="80"/>
              <w:left w:type="dxa" w:w="120"/>
              <w:bottom w:type="dxa" w:w="80"/>
              <w:right w:type="dxa" w:w="120"/>
            </w:tcMar>
          </w:tcPr>
          <w:p>
            <w:r>
              <w:rPr>
                <w:rFonts w:ascii="Calibri" w:cs="Calibri" w:eastAsia="Calibri" w:hAnsi="Calibri"/>
                <w:b/>
                <w:bCs/>
                <w:color w:val="FFFFFF"/>
                <w:sz w:val="20"/>
                <w:szCs w:val="20"/>
              </w:rPr>
              <w:t xml:space="preserve">Usage</w:t>
            </w:r>
          </w:p>
        </w:tc>
      </w:tr>
      <w:tr>
        <w:tc>
          <w:tcPr>
            <w:tcW w:type="dxa" w:w="216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bCs/>
                <w:color w:val="0F172A"/>
                <w:sz w:val="19"/>
                <w:szCs w:val="19"/>
              </w:rPr>
              <w:t xml:space="preserve">Smart Contracts</w:t>
            </w:r>
          </w:p>
        </w:tc>
        <w:tc>
          <w:tcPr>
            <w:tcW w:type="dxa" w:w="324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Solidity 0.8.20</w:t>
            </w:r>
          </w:p>
        </w:tc>
        <w:tc>
          <w:tcPr>
            <w:tcW w:type="dxa" w:w="396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All 10 contracts compiled with optimizer (200 runs, via_ir)</w:t>
            </w:r>
          </w:p>
        </w:tc>
      </w:tr>
      <w:tr>
        <w:tc>
          <w:tcPr>
            <w:tcW w:type="dxa" w:w="216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bCs/>
                <w:color w:val="0F172A"/>
                <w:sz w:val="19"/>
                <w:szCs w:val="19"/>
              </w:rPr>
              <w:t xml:space="preserve">OpenZeppelin</w:t>
            </w:r>
          </w:p>
        </w:tc>
        <w:tc>
          <w:tcPr>
            <w:tcW w:type="dxa" w:w="324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OZ Contracts v4.x</w:t>
            </w:r>
          </w:p>
        </w:tc>
        <w:tc>
          <w:tcPr>
            <w:tcW w:type="dxa" w:w="396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ERC-20, ERC-1155, ERC-4626, Governor, Timelock, ReentrancyGuard, SafeERC20</w:t>
            </w:r>
          </w:p>
        </w:tc>
      </w:tr>
      <w:tr>
        <w:tc>
          <w:tcPr>
            <w:tcW w:type="dxa" w:w="216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bCs/>
                <w:color w:val="0F172A"/>
                <w:sz w:val="19"/>
                <w:szCs w:val="19"/>
              </w:rPr>
              <w:t xml:space="preserve">Assembly</w:t>
            </w:r>
          </w:p>
        </w:tc>
        <w:tc>
          <w:tcPr>
            <w:tcW w:type="dxa" w:w="324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Inline Yul</w:t>
            </w:r>
          </w:p>
        </w:tc>
        <w:tc>
          <w:tcPr>
            <w:tcW w:type="dxa" w:w="396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_sqrtYul() and _getAmountOutYul() in GameAMM — 18–26% gas savings</w:t>
            </w:r>
          </w:p>
        </w:tc>
      </w:tr>
      <w:tr>
        <w:tc>
          <w:tcPr>
            <w:tcW w:type="dxa" w:w="216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bCs/>
                <w:color w:val="0F172A"/>
                <w:sz w:val="19"/>
                <w:szCs w:val="19"/>
              </w:rPr>
              <w:t xml:space="preserve">Testing</w:t>
            </w:r>
          </w:p>
        </w:tc>
        <w:tc>
          <w:tcPr>
            <w:tcW w:type="dxa" w:w="324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Foundry (Forge)</w:t>
            </w:r>
          </w:p>
        </w:tc>
        <w:tc>
          <w:tcPr>
            <w:tcW w:type="dxa" w:w="396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Unit, fuzz (256 runs), invariant (64 runs, depth 15), fork tests</w:t>
            </w:r>
          </w:p>
        </w:tc>
      </w:tr>
      <w:tr>
        <w:tc>
          <w:tcPr>
            <w:tcW w:type="dxa" w:w="216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bCs/>
                <w:color w:val="0F172A"/>
                <w:sz w:val="19"/>
                <w:szCs w:val="19"/>
              </w:rPr>
              <w:t xml:space="preserve">Randomness</w:t>
            </w:r>
          </w:p>
        </w:tc>
        <w:tc>
          <w:tcPr>
            <w:tcW w:type="dxa" w:w="324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Chainlink VRF v2</w:t>
            </w:r>
          </w:p>
        </w:tc>
        <w:tc>
          <w:tcPr>
            <w:tcW w:type="dxa" w:w="396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LootDrop — verifiable randomness for loot box distribution</w:t>
            </w:r>
          </w:p>
        </w:tc>
      </w:tr>
      <w:tr>
        <w:tc>
          <w:tcPr>
            <w:tcW w:type="dxa" w:w="216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bCs/>
                <w:color w:val="0F172A"/>
                <w:sz w:val="19"/>
                <w:szCs w:val="19"/>
              </w:rPr>
              <w:t xml:space="preserve">Price Feed</w:t>
            </w:r>
          </w:p>
        </w:tc>
        <w:tc>
          <w:tcPr>
            <w:tcW w:type="dxa" w:w="324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Chainlink AggregatorV3</w:t>
            </w:r>
          </w:p>
        </w:tc>
        <w:tc>
          <w:tcPr>
            <w:tcW w:type="dxa" w:w="396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GameVault — ETH/USD valuation with staleness check</w:t>
            </w:r>
          </w:p>
        </w:tc>
      </w:tr>
      <w:tr>
        <w:tc>
          <w:tcPr>
            <w:tcW w:type="dxa" w:w="216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bCs/>
                <w:color w:val="0F172A"/>
                <w:sz w:val="19"/>
                <w:szCs w:val="19"/>
              </w:rPr>
              <w:t xml:space="preserve">Indexing</w:t>
            </w:r>
          </w:p>
        </w:tc>
        <w:tc>
          <w:tcPr>
            <w:tcW w:type="dxa" w:w="324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The Graph</w:t>
            </w:r>
          </w:p>
        </w:tc>
        <w:tc>
          <w:tcPr>
            <w:tcW w:type="dxa" w:w="396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gamefi-protocol subgraph v0.0.5 — 9 entities — 100% synced</w:t>
            </w:r>
          </w:p>
        </w:tc>
      </w:tr>
      <w:tr>
        <w:tc>
          <w:tcPr>
            <w:tcW w:type="dxa" w:w="216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bCs/>
                <w:color w:val="0F172A"/>
                <w:sz w:val="19"/>
                <w:szCs w:val="19"/>
              </w:rPr>
              <w:t xml:space="preserve">Network</w:t>
            </w:r>
          </w:p>
        </w:tc>
        <w:tc>
          <w:tcPr>
            <w:tcW w:type="dxa" w:w="324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Arbitrum Sepolia</w:t>
            </w:r>
          </w:p>
        </w:tc>
        <w:tc>
          <w:tcPr>
            <w:tcW w:type="dxa" w:w="396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L2 Optimistic Rollup — Chain ID: 421614 — ~10x cheaper than L1</w:t>
            </w:r>
          </w:p>
        </w:tc>
      </w:tr>
      <w:tr>
        <w:tc>
          <w:tcPr>
            <w:tcW w:type="dxa" w:w="216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bCs/>
                <w:color w:val="0F172A"/>
                <w:sz w:val="19"/>
                <w:szCs w:val="19"/>
              </w:rPr>
              <w:t xml:space="preserve">Security</w:t>
            </w:r>
          </w:p>
        </w:tc>
        <w:tc>
          <w:tcPr>
            <w:tcW w:type="dxa" w:w="324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Slither</w:t>
            </w:r>
          </w:p>
        </w:tc>
        <w:tc>
          <w:tcPr>
            <w:tcW w:type="dxa" w:w="396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Static analysis — zero High/Medium in source contracts</w:t>
            </w:r>
          </w:p>
        </w:tc>
      </w:tr>
    </w:tbl>
    <w:p>
      <w:pPr>
        <w:spacing w:after="120" w:before="0"/>
      </w:pPr>
      <w:r>
        <w:rPr>
          <w:sz w:val="22"/>
          <w:szCs w:val="22"/>
        </w:rPr>
        <w:t xml:space="preserve"/>
      </w:r>
    </w:p>
    <w:p>
      <w:pPr>
        <w:pStyle w:val="Heading2"/>
        <w:spacing w:after="140" w:before="320"/>
      </w:pPr>
      <w:r>
        <w:rPr>
          <w:rFonts w:ascii="Calibri" w:cs="Calibri" w:eastAsia="Calibri" w:hAnsi="Calibri"/>
          <w:b/>
          <w:bCs/>
          <w:color w:val="0F172A"/>
          <w:sz w:val="30"/>
          <w:szCs w:val="30"/>
        </w:rPr>
        <w:t xml:space="preserve">2.3 foundry.toml Configuration</w:t>
      </w:r>
    </w:p>
    <w:p>
      <w:pPr>
        <w:spacing w:after="120" w:before="40"/>
      </w:pPr>
      <w:r>
        <w:rPr>
          <w:rFonts w:ascii="Calibri" w:cs="Calibri" w:eastAsia="Calibri" w:hAnsi="Calibri"/>
          <w:color w:val="0F172A"/>
          <w:sz w:val="22"/>
          <w:szCs w:val="22"/>
        </w:rPr>
        <w:t xml:space="preserve">The project uses a production-grade Foundry configuration optimized for gas efficiency and comprehensive testing:</w:t>
      </w:r>
    </w:p>
    <w:p>
      <w:pPr>
        <w:spacing w:after="120" w:before="0"/>
      </w:pPr>
      <w:r>
        <w:rPr>
          <w:sz w:val="22"/>
          <w:szCs w:val="22"/>
        </w:rPr>
        <w:t xml:space="preserve"/>
      </w:r>
    </w:p>
    <w:p>
      <w:pPr>
        <w:spacing w:after="60" w:before="60"/>
        <w:ind w:left="720"/>
      </w:pPr>
      <w:r>
        <w:rPr>
          <w:rFonts w:ascii="Courier New" w:cs="Courier New" w:eastAsia="Courier New" w:hAnsi="Courier New"/>
          <w:color w:val="1D4ED8"/>
          <w:sz w:val="19"/>
          <w:szCs w:val="19"/>
        </w:rPr>
        <w:t xml:space="preserve">[profile.default]</w:t>
      </w:r>
    </w:p>
    <w:p>
      <w:pPr>
        <w:spacing w:after="60" w:before="60"/>
        <w:ind w:left="720"/>
      </w:pPr>
      <w:r>
        <w:rPr>
          <w:rFonts w:ascii="Courier New" w:cs="Courier New" w:eastAsia="Courier New" w:hAnsi="Courier New"/>
          <w:color w:val="1D4ED8"/>
          <w:sz w:val="19"/>
          <w:szCs w:val="19"/>
        </w:rPr>
        <w:t xml:space="preserve">src      = "src"  |  out = "out"  |  libs = ["lib"]</w:t>
      </w:r>
    </w:p>
    <w:p>
      <w:pPr>
        <w:spacing w:after="60" w:before="60"/>
        <w:ind w:left="720"/>
      </w:pPr>
      <w:r>
        <w:rPr>
          <w:rFonts w:ascii="Courier New" w:cs="Courier New" w:eastAsia="Courier New" w:hAnsi="Courier New"/>
          <w:color w:val="1D4ED8"/>
          <w:sz w:val="19"/>
          <w:szCs w:val="19"/>
        </w:rPr>
        <w:t xml:space="preserve">optimizer = true  |  optimizer_runs = 200  |  via_ir = true</w:t>
      </w:r>
    </w:p>
    <w:p>
      <w:pPr>
        <w:spacing w:after="60" w:before="60"/>
        <w:ind w:left="720"/>
      </w:pPr>
      <w:r>
        <w:rPr>
          <w:rFonts w:ascii="Courier New" w:cs="Courier New" w:eastAsia="Courier New" w:hAnsi="Courier New"/>
          <w:color w:val="1D4ED8"/>
          <w:sz w:val="19"/>
          <w:szCs w:val="19"/>
        </w:rPr>
        <w:t xml:space="preserve">fuzz_runs = 256   |  invariant_runs = 64   |  invariant_depth = 15</w:t>
      </w:r>
    </w:p>
    <w:p>
      <w:pPr>
        <w:spacing w:after="60" w:before="60"/>
        <w:ind w:left="720"/>
      </w:pPr>
      <w:r>
        <w:rPr>
          <w:rFonts w:ascii="Courier New" w:cs="Courier New" w:eastAsia="Courier New" w:hAnsi="Courier New"/>
          <w:color w:val="1D4ED8"/>
          <w:sz w:val="19"/>
          <w:szCs w:val="19"/>
        </w:rPr>
        <w:t xml:space="preserve"/>
      </w:r>
    </w:p>
    <w:p>
      <w:pPr>
        <w:spacing w:after="60" w:before="60"/>
        <w:ind w:left="720"/>
      </w:pPr>
      <w:r>
        <w:rPr>
          <w:rFonts w:ascii="Courier New" w:cs="Courier New" w:eastAsia="Courier New" w:hAnsi="Courier New"/>
          <w:color w:val="1D4ED8"/>
          <w:sz w:val="19"/>
          <w:szCs w:val="19"/>
        </w:rPr>
        <w:t xml:space="preserve">[profile.ci]</w:t>
      </w:r>
    </w:p>
    <w:p>
      <w:pPr>
        <w:spacing w:after="60" w:before="60"/>
        <w:ind w:left="720"/>
      </w:pPr>
      <w:r>
        <w:rPr>
          <w:rFonts w:ascii="Courier New" w:cs="Courier New" w:eastAsia="Courier New" w:hAnsi="Courier New"/>
          <w:color w:val="1D4ED8"/>
          <w:sz w:val="19"/>
          <w:szCs w:val="19"/>
        </w:rPr>
        <w:t xml:space="preserve">fuzz_runs = 1000  |  invariant_runs = 256  |  invariant_depth = 30</w:t>
      </w:r>
    </w:p>
    <w:p>
      <w:pPr>
        <w:spacing w:after="120" w:before="0"/>
      </w:pPr>
      <w:r>
        <w:rPr>
          <w:sz w:val="22"/>
          <w:szCs w:val="22"/>
        </w:rPr>
        <w:t xml:space="preserve"/>
      </w:r>
    </w:p>
    <w:p>
      <w:pPr>
        <w:spacing w:after="120" w:before="40"/>
      </w:pPr>
      <w:r>
        <w:rPr>
          <w:rFonts w:ascii="Calibri" w:cs="Calibri" w:eastAsia="Calibri" w:hAnsi="Calibri"/>
          <w:color w:val="0F172A"/>
          <w:sz w:val="22"/>
          <w:szCs w:val="22"/>
        </w:rPr>
        <w:t xml:space="preserve">The via_ir = true flag enables the Yul intermediate representation compiler pipeline, which provides additional optimization opportunities beyond the standard optimizer. This setting is required for the inline Yul assembly optimizations in GameAMM to be compiled correctly.</w:t>
      </w:r>
    </w:p>
    <w:p>
      <w:pPr>
        <w:spacing w:after="120" w:before="0"/>
      </w:pPr>
      <w:r>
        <w:rPr>
          <w:sz w:val="22"/>
          <w:szCs w:val="22"/>
        </w:rPr>
        <w:t xml:space="preserve"/>
      </w:r>
    </w:p>
    <w:p>
      <w:r>
        <w:br w:type="page"/>
      </w:r>
    </w:p>
    <w:p>
      <w:pPr>
        <w:pStyle w:val="Heading1"/>
        <w:pBdr>
          <w:bottom w:val="single" w:color="1D4ED8" w:sz="4" w:space="6"/>
        </w:pBdr>
        <w:spacing w:after="200" w:before="480"/>
      </w:pPr>
      <w:r>
        <w:rPr>
          <w:rFonts w:ascii="Calibri" w:cs="Calibri" w:eastAsia="Calibri" w:hAnsi="Calibri"/>
          <w:b/>
          <w:bCs/>
          <w:color w:val="1D4ED8"/>
          <w:sz w:val="40"/>
          <w:szCs w:val="40"/>
        </w:rPr>
        <w:t xml:space="preserve">3. Implementation Details</w:t>
      </w:r>
    </w:p>
    <w:p>
      <w:pPr>
        <w:pStyle w:val="Heading2"/>
        <w:spacing w:after="140" w:before="320"/>
      </w:pPr>
      <w:r>
        <w:rPr>
          <w:rFonts w:ascii="Calibri" w:cs="Calibri" w:eastAsia="Calibri" w:hAnsi="Calibri"/>
          <w:b/>
          <w:bCs/>
          <w:color w:val="0F172A"/>
          <w:sz w:val="30"/>
          <w:szCs w:val="30"/>
        </w:rPr>
        <w:t xml:space="preserve">3.1 GameToken — ERC-20 Governance Token</w:t>
      </w:r>
    </w:p>
    <w:p>
      <w:pPr>
        <w:spacing w:after="120" w:before="40"/>
      </w:pPr>
      <w:r>
        <w:rPr>
          <w:rFonts w:ascii="Calibri" w:cs="Calibri" w:eastAsia="Calibri" w:hAnsi="Calibri"/>
          <w:color w:val="0F172A"/>
          <w:sz w:val="22"/>
          <w:szCs w:val="22"/>
        </w:rPr>
        <w:t xml:space="preserve">GameToken is the governance and utility token of the entire protocol. It inherits from ERC20Votes and ERC20Permit, providing checkpointed voting power snapshots (essential for flash-loan-resistant governance) and gasless EIP-2612 approvals.</w:t>
      </w:r>
    </w:p>
    <w:p>
      <w:pPr>
        <w:spacing w:after="12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520"/>
            <w:gridSpan w:val="1"/>
            <w:tcBorders>
              <w:top w:val="single" w:color="1D4ED8" w:sz="4"/>
              <w:left w:val="single" w:color="1D4ED8" w:sz="4"/>
              <w:bottom w:val="single" w:color="1D4ED8" w:sz="4"/>
              <w:right w:val="single" w:color="1D4ED8" w:sz="4"/>
            </w:tcBorders>
            <w:shd w:fill="1D4ED8" w:val="clear"/>
            <w:tcMar>
              <w:top w:type="dxa" w:w="80"/>
              <w:left w:type="dxa" w:w="120"/>
              <w:bottom w:type="dxa" w:w="80"/>
              <w:right w:type="dxa" w:w="120"/>
            </w:tcMar>
          </w:tcPr>
          <w:p>
            <w:r>
              <w:rPr>
                <w:rFonts w:ascii="Calibri" w:cs="Calibri" w:eastAsia="Calibri" w:hAnsi="Calibri"/>
                <w:b/>
                <w:bCs/>
                <w:color w:val="FFFFFF"/>
                <w:sz w:val="20"/>
                <w:szCs w:val="20"/>
              </w:rPr>
              <w:t xml:space="preserve">Property</w:t>
            </w:r>
          </w:p>
        </w:tc>
        <w:tc>
          <w:tcPr>
            <w:tcW w:type="dxa" w:w="6840"/>
            <w:gridSpan w:val="1"/>
            <w:tcBorders>
              <w:top w:val="single" w:color="1D4ED8" w:sz="4"/>
              <w:left w:val="single" w:color="1D4ED8" w:sz="4"/>
              <w:bottom w:val="single" w:color="1D4ED8" w:sz="4"/>
              <w:right w:val="single" w:color="1D4ED8" w:sz="4"/>
            </w:tcBorders>
            <w:shd w:fill="1D4ED8" w:val="clear"/>
            <w:tcMar>
              <w:top w:type="dxa" w:w="80"/>
              <w:left w:type="dxa" w:w="120"/>
              <w:bottom w:type="dxa" w:w="80"/>
              <w:right w:type="dxa" w:w="120"/>
            </w:tcMar>
          </w:tcPr>
          <w:p>
            <w:r>
              <w:rPr>
                <w:rFonts w:ascii="Calibri" w:cs="Calibri" w:eastAsia="Calibri" w:hAnsi="Calibri"/>
                <w:b/>
                <w:bCs/>
                <w:color w:val="FFFFFF"/>
                <w:sz w:val="20"/>
                <w:szCs w:val="20"/>
              </w:rPr>
              <w:t xml:space="preserve">Value</w:t>
            </w:r>
          </w:p>
        </w:tc>
      </w:tr>
      <w:tr>
        <w:tc>
          <w:tcPr>
            <w:tcW w:type="dxa" w:w="252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bCs/>
                <w:color w:val="0F172A"/>
                <w:sz w:val="19"/>
                <w:szCs w:val="19"/>
              </w:rPr>
              <w:t xml:space="preserve">Contract</w:t>
            </w:r>
          </w:p>
        </w:tc>
        <w:tc>
          <w:tcPr>
            <w:tcW w:type="dxa" w:w="684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GameToken.sol</w:t>
            </w:r>
          </w:p>
        </w:tc>
      </w:tr>
      <w:tr>
        <w:tc>
          <w:tcPr>
            <w:tcW w:type="dxa" w:w="252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bCs/>
                <w:color w:val="0F172A"/>
                <w:sz w:val="19"/>
                <w:szCs w:val="19"/>
              </w:rPr>
              <w:t xml:space="preserve">Standard</w:t>
            </w:r>
          </w:p>
        </w:tc>
        <w:tc>
          <w:tcPr>
            <w:tcW w:type="dxa" w:w="684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ERC-20 + ERC20Votes + ERC20Permit</w:t>
            </w:r>
          </w:p>
        </w:tc>
      </w:tr>
      <w:tr>
        <w:tc>
          <w:tcPr>
            <w:tcW w:type="dxa" w:w="252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bCs/>
                <w:color w:val="0F172A"/>
                <w:sz w:val="19"/>
                <w:szCs w:val="19"/>
              </w:rPr>
              <w:t xml:space="preserve">MAX Supply</w:t>
            </w:r>
          </w:p>
        </w:tc>
        <w:tc>
          <w:tcPr>
            <w:tcW w:type="dxa" w:w="684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1,000,000 GAME (enforced via require in mint)</w:t>
            </w:r>
          </w:p>
        </w:tc>
      </w:tr>
      <w:tr>
        <w:tc>
          <w:tcPr>
            <w:tcW w:type="dxa" w:w="252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bCs/>
                <w:color w:val="0F172A"/>
                <w:sz w:val="19"/>
                <w:szCs w:val="19"/>
              </w:rPr>
              <w:t xml:space="preserve">Initial Mint</w:t>
            </w:r>
          </w:p>
        </w:tc>
        <w:tc>
          <w:tcPr>
            <w:tcW w:type="dxa" w:w="684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100,000 GAME minted to deployer at construction</w:t>
            </w:r>
          </w:p>
        </w:tc>
      </w:tr>
      <w:tr>
        <w:tc>
          <w:tcPr>
            <w:tcW w:type="dxa" w:w="252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bCs/>
                <w:color w:val="0F172A"/>
                <w:sz w:val="19"/>
                <w:szCs w:val="19"/>
              </w:rPr>
              <w:t xml:space="preserve">Mint Access</w:t>
            </w:r>
          </w:p>
        </w:tc>
        <w:tc>
          <w:tcPr>
            <w:tcW w:type="dxa" w:w="684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onlyOwner — transferred to TimelockController post-deployment</w:t>
            </w:r>
          </w:p>
        </w:tc>
      </w:tr>
      <w:tr>
        <w:tc>
          <w:tcPr>
            <w:tcW w:type="dxa" w:w="252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bCs/>
                <w:color w:val="0F172A"/>
                <w:sz w:val="19"/>
                <w:szCs w:val="19"/>
              </w:rPr>
              <w:t xml:space="preserve">Voting Clock</w:t>
            </w:r>
          </w:p>
        </w:tc>
        <w:tc>
          <w:tcPr>
            <w:tcW w:type="dxa" w:w="684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Timestamp-based (EIP-6372 CLOCK_MODE = timestamp)</w:t>
            </w:r>
          </w:p>
        </w:tc>
      </w:tr>
      <w:tr>
        <w:tc>
          <w:tcPr>
            <w:tcW w:type="dxa" w:w="252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bCs/>
                <w:color w:val="0F172A"/>
                <w:sz w:val="19"/>
                <w:szCs w:val="19"/>
              </w:rPr>
              <w:t xml:space="preserve">Permit</w:t>
            </w:r>
          </w:p>
        </w:tc>
        <w:tc>
          <w:tcPr>
            <w:tcW w:type="dxa" w:w="684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EIP-2612 gasless approvals</w:t>
            </w:r>
          </w:p>
        </w:tc>
      </w:tr>
      <w:tr>
        <w:tc>
          <w:tcPr>
            <w:tcW w:type="dxa" w:w="252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bCs/>
                <w:color w:val="0F172A"/>
                <w:sz w:val="19"/>
                <w:szCs w:val="19"/>
              </w:rPr>
              <w:t xml:space="preserve">Address</w:t>
            </w:r>
          </w:p>
        </w:tc>
        <w:tc>
          <w:tcPr>
            <w:tcW w:type="dxa" w:w="684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0x407a5Da64E3fc9FF202b76355d0FC0F34390c41A</w:t>
            </w:r>
          </w:p>
        </w:tc>
      </w:tr>
    </w:tbl>
    <w:p>
      <w:pPr>
        <w:spacing w:after="120" w:before="0"/>
      </w:pPr>
      <w:r>
        <w:rPr>
          <w:sz w:val="22"/>
          <w:szCs w:val="22"/>
        </w:rPr>
        <w:t xml:space="preserve"/>
      </w:r>
    </w:p>
    <w:p>
      <w:pPr>
        <w:spacing w:after="120" w:before="40"/>
      </w:pPr>
      <w:r>
        <w:rPr>
          <w:rFonts w:ascii="Calibri" w:cs="Calibri" w:eastAsia="Calibri" w:hAnsi="Calibri"/>
          <w:color w:val="0F172A"/>
          <w:sz w:val="22"/>
          <w:szCs w:val="22"/>
        </w:rPr>
        <w:t xml:space="preserve">The ERC20Votes extension is critical for flash-loan attack prevention: voting power is computed from historical balance checkpoints recorded at specific timestamps, not from the current token balance. This means an attacker who flash-borrows GAME tokens after a proposal is created has zero voting power on that proposal, since their checkpoint at the proposal snapshot time is zero.</w:t>
      </w:r>
    </w:p>
    <w:p>
      <w:pPr>
        <w:spacing w:after="120" w:before="0"/>
      </w:pPr>
      <w:r>
        <w:rPr>
          <w:sz w:val="22"/>
          <w:szCs w:val="22"/>
        </w:rPr>
        <w:t xml:space="preserve"/>
      </w:r>
    </w:p>
    <w:p>
      <w:pPr>
        <w:pStyle w:val="Heading2"/>
        <w:spacing w:after="140" w:before="320"/>
      </w:pPr>
      <w:r>
        <w:rPr>
          <w:rFonts w:ascii="Calibri" w:cs="Calibri" w:eastAsia="Calibri" w:hAnsi="Calibri"/>
          <w:b/>
          <w:bCs/>
          <w:color w:val="0F172A"/>
          <w:sz w:val="30"/>
          <w:szCs w:val="30"/>
        </w:rPr>
        <w:t xml:space="preserve">3.2 GameItems — ERC-1155 Multi-Token with UUPS</w:t>
      </w:r>
    </w:p>
    <w:p>
      <w:pPr>
        <w:spacing w:after="120" w:before="40"/>
      </w:pPr>
      <w:r>
        <w:rPr>
          <w:rFonts w:ascii="Calibri" w:cs="Calibri" w:eastAsia="Calibri" w:hAnsi="Calibri"/>
          <w:color w:val="0F172A"/>
          <w:sz w:val="22"/>
          <w:szCs w:val="22"/>
        </w:rPr>
        <w:t xml:space="preserve">GameItems implements the ERC-1155 multi-token standard with UUPS upgradeability. The contract supports five distinct item types (Sword ID:0, Shield ID:1, Potion ID:2, Armor ID:3, Magic Orb ID:4), each with configurable supply caps. Role-based access control (OpenZeppelin AccessControl) restricts minting to authorized contracts.</w:t>
      </w:r>
    </w:p>
    <w:p>
      <w:pPr>
        <w:spacing w:after="12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620"/>
            <w:gridSpan w:val="1"/>
            <w:tcBorders>
              <w:top w:val="single" w:color="1D4ED8" w:sz="4"/>
              <w:left w:val="single" w:color="1D4ED8" w:sz="4"/>
              <w:bottom w:val="single" w:color="1D4ED8" w:sz="4"/>
              <w:right w:val="single" w:color="1D4ED8" w:sz="4"/>
            </w:tcBorders>
            <w:shd w:fill="1D4ED8" w:val="clear"/>
            <w:tcMar>
              <w:top w:type="dxa" w:w="80"/>
              <w:left w:type="dxa" w:w="120"/>
              <w:bottom w:type="dxa" w:w="80"/>
              <w:right w:type="dxa" w:w="120"/>
            </w:tcMar>
          </w:tcPr>
          <w:p>
            <w:r>
              <w:rPr>
                <w:rFonts w:ascii="Calibri" w:cs="Calibri" w:eastAsia="Calibri" w:hAnsi="Calibri"/>
                <w:b/>
                <w:bCs/>
                <w:color w:val="FFFFFF"/>
                <w:sz w:val="20"/>
                <w:szCs w:val="20"/>
              </w:rPr>
              <w:t xml:space="preserve">Item ID</w:t>
            </w:r>
          </w:p>
        </w:tc>
        <w:tc>
          <w:tcPr>
            <w:tcW w:type="dxa" w:w="2340"/>
            <w:gridSpan w:val="1"/>
            <w:tcBorders>
              <w:top w:val="single" w:color="1D4ED8" w:sz="4"/>
              <w:left w:val="single" w:color="1D4ED8" w:sz="4"/>
              <w:bottom w:val="single" w:color="1D4ED8" w:sz="4"/>
              <w:right w:val="single" w:color="1D4ED8" w:sz="4"/>
            </w:tcBorders>
            <w:shd w:fill="1D4ED8" w:val="clear"/>
            <w:tcMar>
              <w:top w:type="dxa" w:w="80"/>
              <w:left w:type="dxa" w:w="120"/>
              <w:bottom w:type="dxa" w:w="80"/>
              <w:right w:type="dxa" w:w="120"/>
            </w:tcMar>
          </w:tcPr>
          <w:p>
            <w:r>
              <w:rPr>
                <w:rFonts w:ascii="Calibri" w:cs="Calibri" w:eastAsia="Calibri" w:hAnsi="Calibri"/>
                <w:b/>
                <w:bCs/>
                <w:color w:val="FFFFFF"/>
                <w:sz w:val="20"/>
                <w:szCs w:val="20"/>
              </w:rPr>
              <w:t xml:space="preserve">Name</w:t>
            </w:r>
          </w:p>
        </w:tc>
        <w:tc>
          <w:tcPr>
            <w:tcW w:type="dxa" w:w="5400"/>
            <w:gridSpan w:val="1"/>
            <w:tcBorders>
              <w:top w:val="single" w:color="1D4ED8" w:sz="4"/>
              <w:left w:val="single" w:color="1D4ED8" w:sz="4"/>
              <w:bottom w:val="single" w:color="1D4ED8" w:sz="4"/>
              <w:right w:val="single" w:color="1D4ED8" w:sz="4"/>
            </w:tcBorders>
            <w:shd w:fill="1D4ED8"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162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bCs/>
                <w:color w:val="1D4ED8"/>
                <w:sz w:val="19"/>
                <w:szCs w:val="19"/>
              </w:rPr>
              <w:t xml:space="preserve">0</w:t>
            </w:r>
          </w:p>
        </w:tc>
        <w:tc>
          <w:tcPr>
            <w:tcW w:type="dxa" w:w="234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bCs/>
                <w:color w:val="0F172A"/>
                <w:sz w:val="19"/>
                <w:szCs w:val="19"/>
              </w:rPr>
              <w:t xml:space="preserve">Sword</w:t>
            </w:r>
          </w:p>
        </w:tc>
        <w:tc>
          <w:tcPr>
            <w:tcW w:type="dxa" w:w="540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Melee weapon — highest attack stats</w:t>
            </w:r>
          </w:p>
        </w:tc>
      </w:tr>
      <w:tr>
        <w:tc>
          <w:tcPr>
            <w:tcW w:type="dxa" w:w="162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bCs/>
                <w:color w:val="1D4ED8"/>
                <w:sz w:val="19"/>
                <w:szCs w:val="19"/>
              </w:rPr>
              <w:t xml:space="preserve">1</w:t>
            </w:r>
          </w:p>
        </w:tc>
        <w:tc>
          <w:tcPr>
            <w:tcW w:type="dxa" w:w="234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bCs/>
                <w:color w:val="0F172A"/>
                <w:sz w:val="19"/>
                <w:szCs w:val="19"/>
              </w:rPr>
              <w:t xml:space="preserve">Shield</w:t>
            </w:r>
          </w:p>
        </w:tc>
        <w:tc>
          <w:tcPr>
            <w:tcW w:type="dxa" w:w="54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Defensive item — damage reduction</w:t>
            </w:r>
          </w:p>
        </w:tc>
      </w:tr>
      <w:tr>
        <w:tc>
          <w:tcPr>
            <w:tcW w:type="dxa" w:w="162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bCs/>
                <w:color w:val="1D4ED8"/>
                <w:sz w:val="19"/>
                <w:szCs w:val="19"/>
              </w:rPr>
              <w:t xml:space="preserve">2</w:t>
            </w:r>
          </w:p>
        </w:tc>
        <w:tc>
          <w:tcPr>
            <w:tcW w:type="dxa" w:w="234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bCs/>
                <w:color w:val="0F172A"/>
                <w:sz w:val="19"/>
                <w:szCs w:val="19"/>
              </w:rPr>
              <w:t xml:space="preserve">Potion</w:t>
            </w:r>
          </w:p>
        </w:tc>
        <w:tc>
          <w:tcPr>
            <w:tcW w:type="dxa" w:w="540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Consumable — health restoration</w:t>
            </w:r>
          </w:p>
        </w:tc>
      </w:tr>
      <w:tr>
        <w:tc>
          <w:tcPr>
            <w:tcW w:type="dxa" w:w="162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bCs/>
                <w:color w:val="1D4ED8"/>
                <w:sz w:val="19"/>
                <w:szCs w:val="19"/>
              </w:rPr>
              <w:t xml:space="preserve">3</w:t>
            </w:r>
          </w:p>
        </w:tc>
        <w:tc>
          <w:tcPr>
            <w:tcW w:type="dxa" w:w="234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bCs/>
                <w:color w:val="0F172A"/>
                <w:sz w:val="19"/>
                <w:szCs w:val="19"/>
              </w:rPr>
              <w:t xml:space="preserve">Armor</w:t>
            </w:r>
          </w:p>
        </w:tc>
        <w:tc>
          <w:tcPr>
            <w:tcW w:type="dxa" w:w="54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Full-body protection item</w:t>
            </w:r>
          </w:p>
        </w:tc>
      </w:tr>
      <w:tr>
        <w:tc>
          <w:tcPr>
            <w:tcW w:type="dxa" w:w="162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bCs/>
                <w:color w:val="1D4ED8"/>
                <w:sz w:val="19"/>
                <w:szCs w:val="19"/>
              </w:rPr>
              <w:t xml:space="preserve">4</w:t>
            </w:r>
          </w:p>
        </w:tc>
        <w:tc>
          <w:tcPr>
            <w:tcW w:type="dxa" w:w="234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bCs/>
                <w:color w:val="0F172A"/>
                <w:sz w:val="19"/>
                <w:szCs w:val="19"/>
              </w:rPr>
              <w:t xml:space="preserve">Magic Orb</w:t>
            </w:r>
          </w:p>
        </w:tc>
        <w:tc>
          <w:tcPr>
            <w:tcW w:type="dxa" w:w="540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Rare magical artifact — DAO-governed supply</w:t>
            </w:r>
          </w:p>
        </w:tc>
      </w:tr>
    </w:tbl>
    <w:p>
      <w:pPr>
        <w:spacing w:after="120" w:before="0"/>
      </w:pPr>
      <w:r>
        <w:rPr>
          <w:sz w:val="22"/>
          <w:szCs w:val="22"/>
        </w:rPr>
        <w:t xml:space="preserve"/>
      </w:r>
    </w:p>
    <w:p>
      <w:pPr>
        <w:pStyle w:val="Heading3"/>
        <w:spacing w:after="100" w:before="240"/>
      </w:pPr>
      <w:r>
        <w:rPr>
          <w:rFonts w:ascii="Calibri" w:cs="Calibri" w:eastAsia="Calibri" w:hAnsi="Calibri"/>
          <w:b/>
          <w:bCs/>
          <w:color w:val="0891B2"/>
          <w:sz w:val="24"/>
          <w:szCs w:val="24"/>
        </w:rPr>
        <w:t xml:space="preserve">UUPS Proxy Architecture</w:t>
      </w:r>
    </w:p>
    <w:p>
      <w:pPr>
        <w:spacing w:after="120" w:before="40"/>
      </w:pPr>
      <w:r>
        <w:rPr>
          <w:rFonts w:ascii="Calibri" w:cs="Calibri" w:eastAsia="Calibri" w:hAnsi="Calibri"/>
          <w:color w:val="0F172A"/>
          <w:sz w:val="22"/>
          <w:szCs w:val="22"/>
        </w:rPr>
        <w:t xml:space="preserve">GameItems uses the Universal Upgradeable Proxy Standard (UUPS, ERC-1967). Under this pattern, the proxy contract at a stable address delegates all calls to a mutable implementation contract via delegatecall. The key advantage over Transparent Proxy is that upgrade logic (_authorizeUpgrade) lives inside the implementation, saving approximately 40,000–50,000 gas per upgrade transaction.</w:t>
      </w:r>
    </w:p>
    <w:p>
      <w:pPr>
        <w:spacing w:after="120" w:before="0"/>
      </w:pPr>
      <w:r>
        <w:rPr>
          <w:sz w:val="22"/>
          <w:szCs w:val="22"/>
        </w:rPr>
        <w:t xml:space="preserve"/>
      </w:r>
    </w:p>
    <w:p>
      <w:pPr>
        <w:spacing w:after="120" w:before="40"/>
      </w:pPr>
      <w:r>
        <w:rPr>
          <w:rFonts w:ascii="Calibri" w:cs="Calibri" w:eastAsia="Calibri" w:hAnsi="Calibri"/>
          <w:color w:val="0F172A"/>
          <w:sz w:val="22"/>
          <w:szCs w:val="22"/>
        </w:rPr>
        <w:t xml:space="preserve">The V2 upgrade (GameItemsV2) introduces an on-chain crafting system: players burn a specific combination of input items and mint a higher-tier output item. The upgrade preserves the exact storage layout of V1 — only new state variables are appended after the existing layout to prevent storage collisions.</w:t>
      </w:r>
    </w:p>
    <w:p>
      <w:pPr>
        <w:spacing w:after="120" w:before="0"/>
      </w:pPr>
      <w:r>
        <w:rPr>
          <w:sz w:val="22"/>
          <w:szCs w:val="22"/>
        </w:rPr>
        <w:t xml:space="preserve"/>
      </w:r>
    </w:p>
    <w:p>
      <w:pPr>
        <w:pBdr>
          <w:left w:val="thick" w:color="1D4ED8" w:sz="12" w:space="8"/>
        </w:pBdr>
        <w:spacing w:after="100" w:before="100"/>
        <w:ind w:left="360" w:right="360"/>
      </w:pPr>
      <w:r>
        <w:rPr>
          <w:rFonts w:ascii="Calibri" w:cs="Calibri" w:eastAsia="Calibri" w:hAnsi="Calibri"/>
          <w:b/>
          <w:bCs/>
          <w:color w:val="1D4ED8"/>
          <w:sz w:val="22"/>
          <w:szCs w:val="22"/>
        </w:rPr>
        <w:t xml:space="preserve">UPGRADER_ROLE: </w:t>
      </w:r>
      <w:r>
        <w:rPr>
          <w:rFonts w:ascii="Calibri" w:cs="Calibri" w:eastAsia="Calibri" w:hAnsi="Calibri"/>
          <w:color w:val="0F172A"/>
          <w:sz w:val="22"/>
          <w:szCs w:val="22"/>
        </w:rPr>
        <w:t xml:space="preserve">Only the TimelockController holds UPGRADER_ROLE. Any implementation upgrade must pass a full DAO governance vote (1-day delay + 1-week voting + 4% quorum) and wait 2 days in the Timelock before execution.</w:t>
      </w:r>
    </w:p>
    <w:p>
      <w:pPr>
        <w:spacing w:after="120" w:before="0"/>
      </w:pPr>
      <w:r>
        <w:rPr>
          <w:sz w:val="22"/>
          <w:szCs w:val="22"/>
        </w:rPr>
        <w:t xml:space="preserve"/>
      </w:r>
    </w:p>
    <w:p>
      <w:pPr>
        <w:pStyle w:val="Heading2"/>
        <w:spacing w:after="140" w:before="320"/>
      </w:pPr>
      <w:r>
        <w:rPr>
          <w:rFonts w:ascii="Calibri" w:cs="Calibri" w:eastAsia="Calibri" w:hAnsi="Calibri"/>
          <w:b/>
          <w:bCs/>
          <w:color w:val="0F172A"/>
          <w:sz w:val="30"/>
          <w:szCs w:val="30"/>
        </w:rPr>
        <w:t xml:space="preserve">3.3 GameAMM — Constant-Product DEX with Yul Assembly</w:t>
      </w:r>
    </w:p>
    <w:p>
      <w:pPr>
        <w:spacing w:after="120" w:before="40"/>
      </w:pPr>
      <w:r>
        <w:rPr>
          <w:rFonts w:ascii="Calibri" w:cs="Calibri" w:eastAsia="Calibri" w:hAnsi="Calibri"/>
          <w:color w:val="0F172A"/>
          <w:sz w:val="22"/>
          <w:szCs w:val="22"/>
        </w:rPr>
        <w:t xml:space="preserve">GameAMM implements a constant-product automated market maker (AMM) from scratch, not relying on any existing DEX framework. The core invariant x·y=k is maintained across all swap operations. The AMM supports two directions: swapAtoB and swapBtoA. A 0.3% swap fee is retained inside the liquidity pool, incrementally increasing the value of all LP token positions.</w:t>
      </w:r>
    </w:p>
    <w:p>
      <w:pPr>
        <w:spacing w:after="120" w:before="0"/>
      </w:pPr>
      <w:r>
        <w:rPr>
          <w:sz w:val="22"/>
          <w:szCs w:val="22"/>
        </w:rPr>
        <w:t xml:space="preserve"/>
      </w:r>
    </w:p>
    <w:p>
      <w:pPr>
        <w:pStyle w:val="Heading3"/>
        <w:spacing w:after="100" w:before="240"/>
      </w:pPr>
      <w:r>
        <w:rPr>
          <w:rFonts w:ascii="Calibri" w:cs="Calibri" w:eastAsia="Calibri" w:hAnsi="Calibri"/>
          <w:b/>
          <w:bCs/>
          <w:color w:val="0891B2"/>
          <w:sz w:val="24"/>
          <w:szCs w:val="24"/>
        </w:rPr>
        <w:t xml:space="preserve">Core Swap Formula</w:t>
      </w:r>
    </w:p>
    <w:p>
      <w:pPr>
        <w:spacing w:after="120" w:before="40"/>
      </w:pPr>
      <w:r>
        <w:rPr>
          <w:rFonts w:ascii="Calibri" w:cs="Calibri" w:eastAsia="Calibri" w:hAnsi="Calibri"/>
          <w:color w:val="0F172A"/>
          <w:sz w:val="22"/>
          <w:szCs w:val="22"/>
        </w:rPr>
        <w:t xml:space="preserve">The output amount for a given input is calculated using the constant-product formula with fee deduction:</w:t>
      </w:r>
    </w:p>
    <w:p>
      <w:pPr>
        <w:spacing w:after="120" w:before="0"/>
      </w:pPr>
      <w:r>
        <w:rPr>
          <w:sz w:val="22"/>
          <w:szCs w:val="22"/>
        </w:rPr>
        <w:t xml:space="preserve"/>
      </w:r>
    </w:p>
    <w:p>
      <w:pPr>
        <w:spacing w:after="60" w:before="60"/>
        <w:ind w:left="720"/>
      </w:pPr>
      <w:r>
        <w:rPr>
          <w:rFonts w:ascii="Courier New" w:cs="Courier New" w:eastAsia="Courier New" w:hAnsi="Courier New"/>
          <w:color w:val="1D4ED8"/>
          <w:sz w:val="19"/>
          <w:szCs w:val="19"/>
        </w:rPr>
        <w:t xml:space="preserve">amountOut = (amountIn × 997 × reserveOut) / (reserveIn × 1000 + amountIn × 997)</w:t>
      </w:r>
    </w:p>
    <w:p>
      <w:pPr>
        <w:spacing w:after="120" w:before="0"/>
      </w:pPr>
      <w:r>
        <w:rPr>
          <w:sz w:val="22"/>
          <w:szCs w:val="22"/>
        </w:rPr>
        <w:t xml:space="preserve"/>
      </w:r>
    </w:p>
    <w:p>
      <w:pPr>
        <w:spacing w:after="120" w:before="40"/>
      </w:pPr>
      <w:r>
        <w:rPr>
          <w:rFonts w:ascii="Calibri" w:cs="Calibri" w:eastAsia="Calibri" w:hAnsi="Calibri"/>
          <w:color w:val="0F172A"/>
          <w:sz w:val="22"/>
          <w:szCs w:val="22"/>
        </w:rPr>
        <w:t xml:space="preserve">The numerator uses 997 (representing 99.7% of the input after the 0.3% fee) while the denominator incorporates the full input amount adjusted for the fee. This ensures that the fee stays in the pool, increasing k for existing LP holders.</w:t>
      </w:r>
    </w:p>
    <w:p>
      <w:pPr>
        <w:spacing w:after="120" w:before="0"/>
      </w:pPr>
      <w:r>
        <w:rPr>
          <w:sz w:val="22"/>
          <w:szCs w:val="22"/>
        </w:rPr>
        <w:t xml:space="preserve"/>
      </w:r>
    </w:p>
    <w:p>
      <w:pPr>
        <w:pStyle w:val="Heading3"/>
        <w:spacing w:after="100" w:before="240"/>
      </w:pPr>
      <w:r>
        <w:rPr>
          <w:rFonts w:ascii="Calibri" w:cs="Calibri" w:eastAsia="Calibri" w:hAnsi="Calibri"/>
          <w:b/>
          <w:bCs/>
          <w:color w:val="0891B2"/>
          <w:sz w:val="24"/>
          <w:szCs w:val="24"/>
        </w:rPr>
        <w:t xml:space="preserve">Yul Assembly Optimizations</w:t>
      </w:r>
    </w:p>
    <w:p>
      <w:pPr>
        <w:spacing w:after="120" w:before="40"/>
      </w:pPr>
      <w:r>
        <w:rPr>
          <w:rFonts w:ascii="Calibri" w:cs="Calibri" w:eastAsia="Calibri" w:hAnsi="Calibri"/>
          <w:color w:val="0F172A"/>
          <w:sz w:val="22"/>
          <w:szCs w:val="22"/>
        </w:rPr>
        <w:t xml:space="preserve">Two performance-critical functions are implemented in inline Yul assembly, bypassing Solidity's overhead for maximum gas efficiency:</w:t>
      </w:r>
    </w:p>
    <w:p>
      <w:pPr>
        <w:spacing w:after="120" w:before="0"/>
      </w:pPr>
      <w:r>
        <w:rPr>
          <w:sz w:val="22"/>
          <w:szCs w:val="22"/>
        </w:rPr>
        <w:t xml:space="preserve"/>
      </w:r>
    </w:p>
    <w:p>
      <w:pPr>
        <w:pStyle w:val="ListParagraph"/>
        <w:numPr>
          <w:ilvl w:val="0"/>
          <w:numId w:val="2"/>
        </w:numPr>
        <w:spacing w:after="60" w:before="30"/>
      </w:pPr>
      <w:r>
        <w:rPr>
          <w:rFonts w:ascii="Calibri" w:cs="Calibri" w:eastAsia="Calibri" w:hAnsi="Calibri"/>
          <w:color w:val="0F172A"/>
          <w:sz w:val="22"/>
          <w:szCs w:val="22"/>
        </w:rPr>
        <w:t xml:space="preserve">_sqrtYul(uint256 x): Computes integer square root using binary approximation in assembly. Gas cost: ~170 vs ~230 gas in Solidity — 26% savings. Used in LP token minting (addLiquidity initial deposit).</w:t>
      </w:r>
    </w:p>
    <w:p>
      <w:pPr>
        <w:pStyle w:val="ListParagraph"/>
        <w:numPr>
          <w:ilvl w:val="0"/>
          <w:numId w:val="2"/>
        </w:numPr>
        <w:spacing w:after="60" w:before="30"/>
      </w:pPr>
      <w:r>
        <w:rPr>
          <w:rFonts w:ascii="Calibri" w:cs="Calibri" w:eastAsia="Calibri" w:hAnsi="Calibri"/>
          <w:color w:val="0F172A"/>
          <w:sz w:val="22"/>
          <w:szCs w:val="22"/>
        </w:rPr>
        <w:t xml:space="preserve">_getAmountOutYul(uint256 amountIn, uint256 reserveIn, uint256 reserveOut): Implements the AMM formula directly in Yul. Gas cost: ~95 vs ~115 gas in Solidity — 18% savings. Called on every swap.</w:t>
      </w:r>
    </w:p>
    <w:p>
      <w:pPr>
        <w:spacing w:after="12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700"/>
            <w:gridSpan w:val="1"/>
            <w:tcBorders>
              <w:top w:val="single" w:color="1D4ED8" w:sz="4"/>
              <w:left w:val="single" w:color="1D4ED8" w:sz="4"/>
              <w:bottom w:val="single" w:color="1D4ED8" w:sz="4"/>
              <w:right w:val="single" w:color="1D4ED8" w:sz="4"/>
            </w:tcBorders>
            <w:shd w:fill="1D4ED8" w:val="clear"/>
            <w:tcMar>
              <w:top w:type="dxa" w:w="80"/>
              <w:left w:type="dxa" w:w="120"/>
              <w:bottom w:type="dxa" w:w="80"/>
              <w:right w:type="dxa" w:w="120"/>
            </w:tcMar>
          </w:tcPr>
          <w:p>
            <w:r>
              <w:rPr>
                <w:rFonts w:ascii="Calibri" w:cs="Calibri" w:eastAsia="Calibri" w:hAnsi="Calibri"/>
                <w:b/>
                <w:bCs/>
                <w:color w:val="FFFFFF"/>
                <w:sz w:val="20"/>
                <w:szCs w:val="20"/>
              </w:rPr>
              <w:t xml:space="preserve">Function</w:t>
            </w:r>
          </w:p>
        </w:tc>
        <w:tc>
          <w:tcPr>
            <w:tcW w:type="dxa" w:w="2160"/>
            <w:gridSpan w:val="1"/>
            <w:tcBorders>
              <w:top w:val="single" w:color="1D4ED8" w:sz="4"/>
              <w:left w:val="single" w:color="1D4ED8" w:sz="4"/>
              <w:bottom w:val="single" w:color="1D4ED8" w:sz="4"/>
              <w:right w:val="single" w:color="1D4ED8" w:sz="4"/>
            </w:tcBorders>
            <w:shd w:fill="1D4ED8" w:val="clear"/>
            <w:tcMar>
              <w:top w:type="dxa" w:w="80"/>
              <w:left w:type="dxa" w:w="120"/>
              <w:bottom w:type="dxa" w:w="80"/>
              <w:right w:type="dxa" w:w="120"/>
            </w:tcMar>
          </w:tcPr>
          <w:p>
            <w:r>
              <w:rPr>
                <w:rFonts w:ascii="Calibri" w:cs="Calibri" w:eastAsia="Calibri" w:hAnsi="Calibri"/>
                <w:b/>
                <w:bCs/>
                <w:color w:val="FFFFFF"/>
                <w:sz w:val="20"/>
                <w:szCs w:val="20"/>
              </w:rPr>
              <w:t xml:space="preserve">Solidity Gas</w:t>
            </w:r>
          </w:p>
        </w:tc>
        <w:tc>
          <w:tcPr>
            <w:tcW w:type="dxa" w:w="2160"/>
            <w:gridSpan w:val="1"/>
            <w:tcBorders>
              <w:top w:val="single" w:color="1D4ED8" w:sz="4"/>
              <w:left w:val="single" w:color="1D4ED8" w:sz="4"/>
              <w:bottom w:val="single" w:color="1D4ED8" w:sz="4"/>
              <w:right w:val="single" w:color="1D4ED8" w:sz="4"/>
            </w:tcBorders>
            <w:shd w:fill="1D4ED8" w:val="clear"/>
            <w:tcMar>
              <w:top w:type="dxa" w:w="80"/>
              <w:left w:type="dxa" w:w="120"/>
              <w:bottom w:type="dxa" w:w="80"/>
              <w:right w:type="dxa" w:w="120"/>
            </w:tcMar>
          </w:tcPr>
          <w:p>
            <w:r>
              <w:rPr>
                <w:rFonts w:ascii="Calibri" w:cs="Calibri" w:eastAsia="Calibri" w:hAnsi="Calibri"/>
                <w:b/>
                <w:bCs/>
                <w:color w:val="FFFFFF"/>
                <w:sz w:val="20"/>
                <w:szCs w:val="20"/>
              </w:rPr>
              <w:t xml:space="preserve">Yul Gas</w:t>
            </w:r>
          </w:p>
        </w:tc>
        <w:tc>
          <w:tcPr>
            <w:tcW w:type="dxa" w:w="2340"/>
            <w:gridSpan w:val="1"/>
            <w:tcBorders>
              <w:top w:val="single" w:color="1D4ED8" w:sz="4"/>
              <w:left w:val="single" w:color="1D4ED8" w:sz="4"/>
              <w:bottom w:val="single" w:color="1D4ED8" w:sz="4"/>
              <w:right w:val="single" w:color="1D4ED8" w:sz="4"/>
            </w:tcBorders>
            <w:shd w:fill="1D4ED8" w:val="clear"/>
            <w:tcMar>
              <w:top w:type="dxa" w:w="80"/>
              <w:left w:type="dxa" w:w="120"/>
              <w:bottom w:type="dxa" w:w="80"/>
              <w:right w:type="dxa" w:w="120"/>
            </w:tcMar>
          </w:tcPr>
          <w:p>
            <w:r>
              <w:rPr>
                <w:rFonts w:ascii="Calibri" w:cs="Calibri" w:eastAsia="Calibri" w:hAnsi="Calibri"/>
                <w:b/>
                <w:bCs/>
                <w:color w:val="FFFFFF"/>
                <w:sz w:val="20"/>
                <w:szCs w:val="20"/>
              </w:rPr>
              <w:t xml:space="preserve">Saving</w:t>
            </w:r>
          </w:p>
        </w:tc>
      </w:tr>
      <w:tr>
        <w:tc>
          <w:tcPr>
            <w:tcW w:type="dxa" w:w="270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_sqrt</w:t>
            </w:r>
          </w:p>
        </w:tc>
        <w:tc>
          <w:tcPr>
            <w:tcW w:type="dxa" w:w="216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~230 gas</w:t>
            </w:r>
          </w:p>
        </w:tc>
        <w:tc>
          <w:tcPr>
            <w:tcW w:type="dxa" w:w="216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~170 gas</w:t>
            </w:r>
          </w:p>
        </w:tc>
        <w:tc>
          <w:tcPr>
            <w:tcW w:type="dxa" w:w="234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bCs/>
                <w:color w:val="15803D"/>
                <w:sz w:val="19"/>
                <w:szCs w:val="19"/>
              </w:rPr>
              <w:t xml:space="preserve">−26% ✓</w:t>
            </w:r>
          </w:p>
        </w:tc>
      </w:tr>
      <w:tr>
        <w:tc>
          <w:tcPr>
            <w:tcW w:type="dxa" w:w="27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_getAmountOut</w:t>
            </w:r>
          </w:p>
        </w:tc>
        <w:tc>
          <w:tcPr>
            <w:tcW w:type="dxa" w:w="216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~115 gas</w:t>
            </w:r>
          </w:p>
        </w:tc>
        <w:tc>
          <w:tcPr>
            <w:tcW w:type="dxa" w:w="216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~95 gas</w:t>
            </w:r>
          </w:p>
        </w:tc>
        <w:tc>
          <w:tcPr>
            <w:tcW w:type="dxa" w:w="234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bCs/>
                <w:color w:val="15803D"/>
                <w:sz w:val="19"/>
                <w:szCs w:val="19"/>
              </w:rPr>
              <w:t xml:space="preserve">−18% ✓</w:t>
            </w:r>
          </w:p>
        </w:tc>
      </w:tr>
    </w:tbl>
    <w:p>
      <w:pPr>
        <w:spacing w:after="120" w:before="0"/>
      </w:pPr>
      <w:r>
        <w:rPr>
          <w:sz w:val="22"/>
          <w:szCs w:val="22"/>
        </w:rPr>
        <w:t xml:space="preserve"/>
      </w:r>
    </w:p>
    <w:p>
      <w:pPr>
        <w:spacing w:after="120" w:before="40"/>
      </w:pPr>
      <w:r>
        <w:rPr>
          <w:rFonts w:ascii="Calibri" w:cs="Calibri" w:eastAsia="Calibri" w:hAnsi="Calibri"/>
          <w:color w:val="0F172A"/>
          <w:sz w:val="22"/>
          <w:szCs w:val="22"/>
        </w:rPr>
        <w:t xml:space="preserve">LP tokens (GameLP) are standard ERC-20 tokens minted to liquidity providers proportionally to their share of pool reserves. Initial liquidity minting uses the geometric mean formula (sqrt(amountA × amountB)) to prevent price manipulation at initialization.</w:t>
      </w:r>
    </w:p>
    <w:p>
      <w:pPr>
        <w:spacing w:after="120" w:before="0"/>
      </w:pPr>
      <w:r>
        <w:rPr>
          <w:sz w:val="22"/>
          <w:szCs w:val="22"/>
        </w:rPr>
        <w:t xml:space="preserve"/>
      </w:r>
    </w:p>
    <w:p>
      <w:pPr>
        <w:pStyle w:val="Heading2"/>
        <w:spacing w:after="140" w:before="320"/>
      </w:pPr>
      <w:r>
        <w:rPr>
          <w:rFonts w:ascii="Calibri" w:cs="Calibri" w:eastAsia="Calibri" w:hAnsi="Calibri"/>
          <w:b/>
          <w:bCs/>
          <w:color w:val="0F172A"/>
          <w:sz w:val="30"/>
          <w:szCs w:val="30"/>
        </w:rPr>
        <w:t xml:space="preserve">3.4 GameVault — ERC-4626 Yield Vault</w:t>
      </w:r>
    </w:p>
    <w:p>
      <w:pPr>
        <w:spacing w:after="120" w:before="40"/>
      </w:pPr>
      <w:r>
        <w:rPr>
          <w:rFonts w:ascii="Calibri" w:cs="Calibri" w:eastAsia="Calibri" w:hAnsi="Calibri"/>
          <w:color w:val="0F172A"/>
          <w:sz w:val="22"/>
          <w:szCs w:val="22"/>
        </w:rPr>
        <w:t xml:space="preserve">GameVault is a tokenized yield vault compliant with ERC-4626 (the Tokenized Vault Standard). GAME token holders deposit into the vault and receive vault shares (vGAME). Yield accumulates in the vault from protocol fees transferred by NFTRentalVault, and is distributed proportionally to all share holders on withdrawal.</w:t>
      </w:r>
    </w:p>
    <w:p>
      <w:pPr>
        <w:spacing w:after="120" w:before="0"/>
      </w:pPr>
      <w:r>
        <w:rPr>
          <w:sz w:val="22"/>
          <w:szCs w:val="22"/>
        </w:rPr>
        <w:t xml:space="preserve"/>
      </w:r>
    </w:p>
    <w:p>
      <w:pPr>
        <w:pStyle w:val="Heading3"/>
        <w:spacing w:after="100" w:before="240"/>
      </w:pPr>
      <w:r>
        <w:rPr>
          <w:rFonts w:ascii="Calibri" w:cs="Calibri" w:eastAsia="Calibri" w:hAnsi="Calibri"/>
          <w:b/>
          <w:bCs/>
          <w:color w:val="0891B2"/>
          <w:sz w:val="24"/>
          <w:szCs w:val="24"/>
        </w:rPr>
        <w:t xml:space="preserve">Chainlink Price Feed Integration</w:t>
      </w:r>
    </w:p>
    <w:p>
      <w:pPr>
        <w:spacing w:after="120" w:before="40"/>
      </w:pPr>
      <w:r>
        <w:rPr>
          <w:rFonts w:ascii="Calibri" w:cs="Calibri" w:eastAsia="Calibri" w:hAnsi="Calibri"/>
          <w:color w:val="0F172A"/>
          <w:sz w:val="22"/>
          <w:szCs w:val="22"/>
        </w:rPr>
        <w:t xml:space="preserve">GameVault integrates a Chainlink AggregatorV3Interface to provide USD valuation of vault assets. A configurable staleness threshold (default: 1 hour / 3600 seconds) is enforced: if the Chainlink round's updatedAt timestamp is more than 1 hour in the past, the latestPrice() function reverts with StalePrice. This prevents stale oracle data from being used for any financial calculation.</w:t>
      </w:r>
    </w:p>
    <w:p>
      <w:pPr>
        <w:spacing w:after="120" w:before="0"/>
      </w:pPr>
      <w:r>
        <w:rPr>
          <w:sz w:val="22"/>
          <w:szCs w:val="22"/>
        </w:rPr>
        <w:t xml:space="preserve"/>
      </w:r>
    </w:p>
    <w:p>
      <w:pPr>
        <w:pBdr>
          <w:left w:val="thick" w:color="DC2626" w:sz="12" w:space="8"/>
        </w:pBdr>
        <w:spacing w:after="100" w:before="100"/>
        <w:ind w:left="360" w:right="360"/>
      </w:pPr>
      <w:r>
        <w:rPr>
          <w:rFonts w:ascii="Calibri" w:cs="Calibri" w:eastAsia="Calibri" w:hAnsi="Calibri"/>
          <w:b/>
          <w:bCs/>
          <w:color w:val="DC2626"/>
          <w:sz w:val="22"/>
          <w:szCs w:val="22"/>
        </w:rPr>
        <w:t xml:space="preserve">Staleness Check: </w:t>
      </w:r>
      <w:r>
        <w:rPr>
          <w:rFonts w:ascii="Calibri" w:cs="Calibri" w:eastAsia="Calibri" w:hAnsi="Calibri"/>
          <w:color w:val="0F172A"/>
          <w:sz w:val="22"/>
          <w:szCs w:val="22"/>
        </w:rPr>
        <w:t xml:space="preserve">if (block.timestamp - updatedAt &gt; stalenessThreshold) revert StalePrice() — reverts on any price older than 1 hour</w:t>
      </w:r>
    </w:p>
    <w:p>
      <w:pPr>
        <w:spacing w:after="120" w:before="0"/>
      </w:pPr>
      <w:r>
        <w:rPr>
          <w:sz w:val="22"/>
          <w:szCs w:val="22"/>
        </w:rPr>
        <w:t xml:space="preserve"/>
      </w:r>
    </w:p>
    <w:p>
      <w:pPr>
        <w:spacing w:after="120" w:before="40"/>
      </w:pPr>
      <w:r>
        <w:rPr>
          <w:rFonts w:ascii="Calibri" w:cs="Calibri" w:eastAsia="Calibri" w:hAnsi="Calibri"/>
          <w:color w:val="0F172A"/>
          <w:sz w:val="22"/>
          <w:szCs w:val="22"/>
        </w:rPr>
        <w:t xml:space="preserve">Additionally, the oracle adapter rejects any price ≤ 0, guarding against invalid or corrupted Chainlink round data. Both protections are tested in the unit test suite (test_stale_price_reverts, test_negative_price_reverts).</w:t>
      </w:r>
    </w:p>
    <w:p>
      <w:pPr>
        <w:spacing w:after="120" w:before="0"/>
      </w:pPr>
      <w:r>
        <w:rPr>
          <w:sz w:val="22"/>
          <w:szCs w:val="22"/>
        </w:rPr>
        <w:t xml:space="preserve"/>
      </w:r>
    </w:p>
    <w:p>
      <w:pPr>
        <w:pStyle w:val="Heading2"/>
        <w:spacing w:after="140" w:before="320"/>
      </w:pPr>
      <w:r>
        <w:rPr>
          <w:rFonts w:ascii="Calibri" w:cs="Calibri" w:eastAsia="Calibri" w:hAnsi="Calibri"/>
          <w:b/>
          <w:bCs/>
          <w:color w:val="0F172A"/>
          <w:sz w:val="30"/>
          <w:szCs w:val="30"/>
        </w:rPr>
        <w:t xml:space="preserve">3.5 NFTRentalVault — ERC-1155 Rental Marketplace</w:t>
      </w:r>
    </w:p>
    <w:p>
      <w:pPr>
        <w:spacing w:after="120" w:before="40"/>
      </w:pPr>
      <w:r>
        <w:rPr>
          <w:rFonts w:ascii="Calibri" w:cs="Calibri" w:eastAsia="Calibri" w:hAnsi="Calibri"/>
          <w:color w:val="0F172A"/>
          <w:sz w:val="22"/>
          <w:szCs w:val="22"/>
        </w:rPr>
        <w:t xml:space="preserve">NFTRentalVault implements a non-custodial rental marketplace for ERC-1155 GameItems. Item owners can list their items for rent at a specified GAME token price per day. Renters pay upfront for the rental duration (maximum 7 days). The vault holds items in escrow during active listings.</w:t>
      </w:r>
    </w:p>
    <w:p>
      <w:pPr>
        <w:spacing w:after="120" w:before="0"/>
      </w:pPr>
      <w:r>
        <w:rPr>
          <w:sz w:val="22"/>
          <w:szCs w:val="22"/>
        </w:rPr>
        <w:t xml:space="preserve"/>
      </w:r>
    </w:p>
    <w:p>
      <w:pPr>
        <w:pStyle w:val="Heading3"/>
        <w:spacing w:after="100" w:before="240"/>
      </w:pPr>
      <w:r>
        <w:rPr>
          <w:rFonts w:ascii="Calibri" w:cs="Calibri" w:eastAsia="Calibri" w:hAnsi="Calibri"/>
          <w:b/>
          <w:bCs/>
          <w:color w:val="0891B2"/>
          <w:sz w:val="24"/>
          <w:szCs w:val="24"/>
        </w:rPr>
        <w:t xml:space="preserve">Fee Structure &amp; Pull-over-Push</w:t>
      </w:r>
    </w:p>
    <w:p>
      <w:pPr>
        <w:spacing w:after="120" w:before="40"/>
      </w:pPr>
      <w:r>
        <w:rPr>
          <w:rFonts w:ascii="Calibri" w:cs="Calibri" w:eastAsia="Calibri" w:hAnsi="Calibri"/>
          <w:color w:val="0F172A"/>
          <w:sz w:val="22"/>
          <w:szCs w:val="22"/>
        </w:rPr>
        <w:t xml:space="preserve">A configurable platform fee (default: 5%, maximum: 10%) is deducted from each rental payment. The remaining rental income is available for the item owner to withdraw via claimYield(). This pull-over-push pattern — where the owner pulls their accumulated yield rather than receiving it pushed automatically — eliminates push-payment reentrancy attack vectors.</w:t>
      </w:r>
    </w:p>
    <w:p>
      <w:pPr>
        <w:spacing w:after="120" w:before="0"/>
      </w:pPr>
      <w:r>
        <w:rPr>
          <w:sz w:val="22"/>
          <w:szCs w:val="22"/>
        </w:rPr>
        <w:t xml:space="preserve"/>
      </w:r>
    </w:p>
    <w:p>
      <w:pPr>
        <w:pStyle w:val="Heading3"/>
        <w:spacing w:after="100" w:before="240"/>
      </w:pPr>
      <w:r>
        <w:rPr>
          <w:rFonts w:ascii="Calibri" w:cs="Calibri" w:eastAsia="Calibri" w:hAnsi="Calibri"/>
          <w:b/>
          <w:bCs/>
          <w:color w:val="0891B2"/>
          <w:sz w:val="24"/>
          <w:szCs w:val="24"/>
        </w:rPr>
        <w:t xml:space="preserve">Rental Lifecycle</w:t>
      </w:r>
    </w:p>
    <w:p>
      <w:pPr>
        <w:pStyle w:val="ListParagraph"/>
        <w:numPr>
          <w:ilvl w:val="0"/>
          <w:numId w:val="3"/>
        </w:numPr>
        <w:spacing w:after="60" w:before="30"/>
      </w:pPr>
      <w:r>
        <w:rPr>
          <w:rFonts w:ascii="Calibri" w:cs="Calibri" w:eastAsia="Calibri" w:hAnsi="Calibri"/>
          <w:color w:val="0F172A"/>
          <w:sz w:val="22"/>
          <w:szCs w:val="22"/>
        </w:rPr>
        <w:t xml:space="preserve">Owner calls listItem(itemId, amount, pricePerDay) → vault receives item via safeTransferFrom</w:t>
      </w:r>
    </w:p>
    <w:p>
      <w:pPr>
        <w:pStyle w:val="ListParagraph"/>
        <w:numPr>
          <w:ilvl w:val="0"/>
          <w:numId w:val="3"/>
        </w:numPr>
        <w:spacing w:after="60" w:before="30"/>
      </w:pPr>
      <w:r>
        <w:rPr>
          <w:rFonts w:ascii="Calibri" w:cs="Calibri" w:eastAsia="Calibri" w:hAnsi="Calibri"/>
          <w:color w:val="0F172A"/>
          <w:sz w:val="22"/>
          <w:szCs w:val="22"/>
        </w:rPr>
        <w:t xml:space="preserve">Renter calls rentItem(listingId, durationDays) → pays durationDays × pricePerDay GAME tokens</w:t>
      </w:r>
    </w:p>
    <w:p>
      <w:pPr>
        <w:pStyle w:val="ListParagraph"/>
        <w:numPr>
          <w:ilvl w:val="0"/>
          <w:numId w:val="3"/>
        </w:numPr>
        <w:spacing w:after="60" w:before="30"/>
      </w:pPr>
      <w:r>
        <w:rPr>
          <w:rFonts w:ascii="Calibri" w:cs="Calibri" w:eastAsia="Calibri" w:hAnsi="Calibri"/>
          <w:color w:val="0F172A"/>
          <w:sz w:val="22"/>
          <w:szCs w:val="22"/>
        </w:rPr>
        <w:t xml:space="preserve">Contract deducts platform fee, stores owner's accrued yield</w:t>
      </w:r>
    </w:p>
    <w:p>
      <w:pPr>
        <w:pStyle w:val="ListParagraph"/>
        <w:numPr>
          <w:ilvl w:val="0"/>
          <w:numId w:val="3"/>
        </w:numPr>
        <w:spacing w:after="60" w:before="30"/>
      </w:pPr>
      <w:r>
        <w:rPr>
          <w:rFonts w:ascii="Calibri" w:cs="Calibri" w:eastAsia="Calibri" w:hAnsi="Calibri"/>
          <w:color w:val="0F172A"/>
          <w:sz w:val="22"/>
          <w:szCs w:val="22"/>
        </w:rPr>
        <w:t xml:space="preserve">Rental period expires → anyone calls endRental() to reactivate listing</w:t>
      </w:r>
    </w:p>
    <w:p>
      <w:pPr>
        <w:pStyle w:val="ListParagraph"/>
        <w:numPr>
          <w:ilvl w:val="0"/>
          <w:numId w:val="3"/>
        </w:numPr>
        <w:spacing w:after="60" w:before="30"/>
      </w:pPr>
      <w:r>
        <w:rPr>
          <w:rFonts w:ascii="Calibri" w:cs="Calibri" w:eastAsia="Calibri" w:hAnsi="Calibri"/>
          <w:color w:val="0F172A"/>
          <w:sz w:val="22"/>
          <w:szCs w:val="22"/>
        </w:rPr>
        <w:t xml:space="preserve">Owner calls delistItem() when listing is active to reclaim items</w:t>
      </w:r>
    </w:p>
    <w:p>
      <w:pPr>
        <w:pStyle w:val="ListParagraph"/>
        <w:numPr>
          <w:ilvl w:val="0"/>
          <w:numId w:val="3"/>
        </w:numPr>
        <w:spacing w:after="60" w:before="30"/>
      </w:pPr>
      <w:r>
        <w:rPr>
          <w:rFonts w:ascii="Calibri" w:cs="Calibri" w:eastAsia="Calibri" w:hAnsi="Calibri"/>
          <w:color w:val="0F172A"/>
          <w:sz w:val="22"/>
          <w:szCs w:val="22"/>
        </w:rPr>
        <w:t xml:space="preserve">Owner calls claimYield() at any time to withdraw accumulated GAME earnings</w:t>
      </w:r>
    </w:p>
    <w:p>
      <w:pPr>
        <w:spacing w:after="120" w:before="0"/>
      </w:pPr>
      <w:r>
        <w:rPr>
          <w:sz w:val="22"/>
          <w:szCs w:val="22"/>
        </w:rPr>
        <w:t xml:space="preserve"/>
      </w:r>
    </w:p>
    <w:p>
      <w:pPr>
        <w:pStyle w:val="Heading2"/>
        <w:spacing w:after="140" w:before="320"/>
      </w:pPr>
      <w:r>
        <w:rPr>
          <w:rFonts w:ascii="Calibri" w:cs="Calibri" w:eastAsia="Calibri" w:hAnsi="Calibri"/>
          <w:b/>
          <w:bCs/>
          <w:color w:val="0F172A"/>
          <w:sz w:val="30"/>
          <w:szCs w:val="30"/>
        </w:rPr>
        <w:t xml:space="preserve">3.6 LootDrop — Chainlink VRF v2 Integration</w:t>
      </w:r>
    </w:p>
    <w:p>
      <w:pPr>
        <w:spacing w:after="120" w:before="40"/>
      </w:pPr>
      <w:r>
        <w:rPr>
          <w:rFonts w:ascii="Calibri" w:cs="Calibri" w:eastAsia="Calibri" w:hAnsi="Calibri"/>
          <w:color w:val="0F172A"/>
          <w:sz w:val="22"/>
          <w:szCs w:val="22"/>
        </w:rPr>
        <w:t xml:space="preserve">LootDrop implements verifiable random loot distribution using Chainlink VRF v2. The protocol integrates with an active Chainlink VRF subscription (Subscription ID: 110299...5662, Status: Active, 5 LINK funded, 2 consumers registered as of May 2026).</w:t>
      </w:r>
    </w:p>
    <w:p>
      <w:pPr>
        <w:spacing w:after="12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600"/>
            <w:gridSpan w:val="1"/>
            <w:tcBorders>
              <w:top w:val="single" w:color="1D4ED8" w:sz="4"/>
              <w:left w:val="single" w:color="1D4ED8" w:sz="4"/>
              <w:bottom w:val="single" w:color="1D4ED8" w:sz="4"/>
              <w:right w:val="single" w:color="1D4ED8" w:sz="4"/>
            </w:tcBorders>
            <w:shd w:fill="1D4ED8" w:val="clear"/>
            <w:tcMar>
              <w:top w:type="dxa" w:w="80"/>
              <w:left w:type="dxa" w:w="120"/>
              <w:bottom w:type="dxa" w:w="80"/>
              <w:right w:type="dxa" w:w="120"/>
            </w:tcMar>
          </w:tcPr>
          <w:p>
            <w:r>
              <w:rPr>
                <w:rFonts w:ascii="Calibri" w:cs="Calibri" w:eastAsia="Calibri" w:hAnsi="Calibri"/>
                <w:b/>
                <w:bCs/>
                <w:color w:val="FFFFFF"/>
                <w:sz w:val="20"/>
                <w:szCs w:val="20"/>
              </w:rPr>
              <w:t xml:space="preserve">Parameter</w:t>
            </w:r>
          </w:p>
        </w:tc>
        <w:tc>
          <w:tcPr>
            <w:tcW w:type="dxa" w:w="5760"/>
            <w:gridSpan w:val="1"/>
            <w:tcBorders>
              <w:top w:val="single" w:color="1D4ED8" w:sz="4"/>
              <w:left w:val="single" w:color="1D4ED8" w:sz="4"/>
              <w:bottom w:val="single" w:color="1D4ED8" w:sz="4"/>
              <w:right w:val="single" w:color="1D4ED8" w:sz="4"/>
            </w:tcBorders>
            <w:shd w:fill="1D4ED8" w:val="clear"/>
            <w:tcMar>
              <w:top w:type="dxa" w:w="80"/>
              <w:left w:type="dxa" w:w="120"/>
              <w:bottom w:type="dxa" w:w="80"/>
              <w:right w:type="dxa" w:w="120"/>
            </w:tcMar>
          </w:tcPr>
          <w:p>
            <w:r>
              <w:rPr>
                <w:rFonts w:ascii="Calibri" w:cs="Calibri" w:eastAsia="Calibri" w:hAnsi="Calibri"/>
                <w:b/>
                <w:bCs/>
                <w:color w:val="FFFFFF"/>
                <w:sz w:val="20"/>
                <w:szCs w:val="20"/>
              </w:rPr>
              <w:t xml:space="preserve">Value</w:t>
            </w:r>
          </w:p>
        </w:tc>
      </w:tr>
      <w:tr>
        <w:tc>
          <w:tcPr>
            <w:tcW w:type="dxa" w:w="360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bCs/>
                <w:color w:val="0F172A"/>
                <w:sz w:val="19"/>
                <w:szCs w:val="19"/>
              </w:rPr>
              <w:t xml:space="preserve">VRF Version</w:t>
            </w:r>
          </w:p>
        </w:tc>
        <w:tc>
          <w:tcPr>
            <w:tcW w:type="dxa" w:w="576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Chainlink VRF v2</w:t>
            </w:r>
          </w:p>
        </w:tc>
      </w:tr>
      <w:tr>
        <w:tc>
          <w:tcPr>
            <w:tcW w:type="dxa" w:w="36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bCs/>
                <w:color w:val="0F172A"/>
                <w:sz w:val="19"/>
                <w:szCs w:val="19"/>
              </w:rPr>
              <w:t xml:space="preserve">Drop Rate</w:t>
            </w:r>
          </w:p>
        </w:tc>
        <w:tc>
          <w:tcPr>
            <w:tcW w:type="dxa" w:w="576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500 / 1000 = 50% (DAO-governed via setDropRate())</w:t>
            </w:r>
          </w:p>
        </w:tc>
      </w:tr>
      <w:tr>
        <w:tc>
          <w:tcPr>
            <w:tcW w:type="dxa" w:w="360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bCs/>
                <w:color w:val="0F172A"/>
                <w:sz w:val="19"/>
                <w:szCs w:val="19"/>
              </w:rPr>
              <w:t xml:space="preserve">Request Confirmations</w:t>
            </w:r>
          </w:p>
        </w:tc>
        <w:tc>
          <w:tcPr>
            <w:tcW w:type="dxa" w:w="576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3 block confirmations before fulfillment</w:t>
            </w:r>
          </w:p>
        </w:tc>
      </w:tr>
      <w:tr>
        <w:tc>
          <w:tcPr>
            <w:tcW w:type="dxa" w:w="36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bCs/>
                <w:color w:val="0F172A"/>
                <w:sz w:val="19"/>
                <w:szCs w:val="19"/>
              </w:rPr>
              <w:t xml:space="preserve">Callback Gas Limit</w:t>
            </w:r>
          </w:p>
        </w:tc>
        <w:tc>
          <w:tcPr>
            <w:tcW w:type="dxa" w:w="576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200,000 (CALLBACK_GAS_LIMIT constant)</w:t>
            </w:r>
          </w:p>
        </w:tc>
      </w:tr>
      <w:tr>
        <w:tc>
          <w:tcPr>
            <w:tcW w:type="dxa" w:w="360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bCs/>
                <w:color w:val="0F172A"/>
                <w:sz w:val="19"/>
                <w:szCs w:val="19"/>
              </w:rPr>
              <w:t xml:space="preserve">Item Selection</w:t>
            </w:r>
          </w:p>
        </w:tc>
        <w:tc>
          <w:tcPr>
            <w:tcW w:type="dxa" w:w="576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randomWord % 5 → selects itemId in range [0, 4]</w:t>
            </w:r>
          </w:p>
        </w:tc>
      </w:tr>
      <w:tr>
        <w:tc>
          <w:tcPr>
            <w:tcW w:type="dxa" w:w="36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bCs/>
                <w:color w:val="0F172A"/>
                <w:sz w:val="19"/>
                <w:szCs w:val="19"/>
              </w:rPr>
              <w:t xml:space="preserve">VRF Subscription</w:t>
            </w:r>
          </w:p>
        </w:tc>
        <w:tc>
          <w:tcPr>
            <w:tcW w:type="dxa" w:w="576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Active · 5 LINK balance · 2 consumers (0x38fd...e97e, 0x5f90...8f01)</w:t>
            </w:r>
          </w:p>
        </w:tc>
      </w:tr>
      <w:tr>
        <w:tc>
          <w:tcPr>
            <w:tcW w:type="dxa" w:w="360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bCs/>
                <w:color w:val="0F172A"/>
                <w:sz w:val="19"/>
                <w:szCs w:val="19"/>
              </w:rPr>
              <w:t xml:space="preserve">Mint Role</w:t>
            </w:r>
          </w:p>
        </w:tc>
        <w:tc>
          <w:tcPr>
            <w:tcW w:type="dxa" w:w="576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MINTER_ROLE granted to LootDrop on GameItems</w:t>
            </w:r>
          </w:p>
        </w:tc>
      </w:tr>
    </w:tbl>
    <w:p>
      <w:pPr>
        <w:spacing w:after="120" w:before="0"/>
      </w:pPr>
      <w:r>
        <w:rPr>
          <w:sz w:val="22"/>
          <w:szCs w:val="22"/>
        </w:rPr>
        <w:t xml:space="preserve"/>
      </w:r>
    </w:p>
    <w:p>
      <w:pPr>
        <w:pStyle w:val="Heading3"/>
        <w:spacing w:after="100" w:before="240"/>
      </w:pPr>
      <w:r>
        <w:rPr>
          <w:rFonts w:ascii="Calibri" w:cs="Calibri" w:eastAsia="Calibri" w:hAnsi="Calibri"/>
          <w:b/>
          <w:bCs/>
          <w:color w:val="0891B2"/>
          <w:sz w:val="24"/>
          <w:szCs w:val="24"/>
        </w:rPr>
        <w:t xml:space="preserve">VRF Request-Fulfill Lifecycle</w:t>
      </w:r>
    </w:p>
    <w:p>
      <w:pPr>
        <w:pStyle w:val="ListParagraph"/>
        <w:numPr>
          <w:ilvl w:val="0"/>
          <w:numId w:val="3"/>
        </w:numPr>
        <w:spacing w:after="60" w:before="30"/>
      </w:pPr>
      <w:r>
        <w:rPr>
          <w:rFonts w:ascii="Calibri" w:cs="Calibri" w:eastAsia="Calibri" w:hAnsi="Calibri"/>
          <w:color w:val="0F172A"/>
          <w:sz w:val="22"/>
          <w:szCs w:val="22"/>
        </w:rPr>
        <w:t xml:space="preserve">Player calls requestLoot() on LootDrop</w:t>
      </w:r>
    </w:p>
    <w:p>
      <w:pPr>
        <w:pStyle w:val="ListParagraph"/>
        <w:numPr>
          <w:ilvl w:val="0"/>
          <w:numId w:val="3"/>
        </w:numPr>
        <w:spacing w:after="60" w:before="30"/>
      </w:pPr>
      <w:r>
        <w:rPr>
          <w:rFonts w:ascii="Calibri" w:cs="Calibri" w:eastAsia="Calibri" w:hAnsi="Calibri"/>
          <w:color w:val="0F172A"/>
          <w:sz w:val="22"/>
          <w:szCs w:val="22"/>
        </w:rPr>
        <w:t xml:space="preserve">LootDrop calls COORDINATOR.requestRandomWords() — requestId returned</w:t>
      </w:r>
    </w:p>
    <w:p>
      <w:pPr>
        <w:pStyle w:val="ListParagraph"/>
        <w:numPr>
          <w:ilvl w:val="0"/>
          <w:numId w:val="3"/>
        </w:numPr>
        <w:spacing w:after="60" w:before="30"/>
      </w:pPr>
      <w:r>
        <w:rPr>
          <w:rFonts w:ascii="Calibri" w:cs="Calibri" w:eastAsia="Calibri" w:hAnsi="Calibri"/>
          <w:color w:val="0F172A"/>
          <w:sz w:val="22"/>
          <w:szCs w:val="22"/>
        </w:rPr>
        <w:t xml:space="preserve">requestId → player address stored in requestToPlayer mapping</w:t>
      </w:r>
    </w:p>
    <w:p>
      <w:pPr>
        <w:pStyle w:val="ListParagraph"/>
        <w:numPr>
          <w:ilvl w:val="0"/>
          <w:numId w:val="3"/>
        </w:numPr>
        <w:spacing w:after="60" w:before="30"/>
      </w:pPr>
      <w:r>
        <w:rPr>
          <w:rFonts w:ascii="Calibri" w:cs="Calibri" w:eastAsia="Calibri" w:hAnsi="Calibri"/>
          <w:color w:val="0F172A"/>
          <w:sz w:val="22"/>
          <w:szCs w:val="22"/>
        </w:rPr>
        <w:t xml:space="preserve">LootRequested event emitted with requestId and player address</w:t>
      </w:r>
    </w:p>
    <w:p>
      <w:pPr>
        <w:pStyle w:val="ListParagraph"/>
        <w:numPr>
          <w:ilvl w:val="0"/>
          <w:numId w:val="3"/>
        </w:numPr>
        <w:spacing w:after="60" w:before="30"/>
      </w:pPr>
      <w:r>
        <w:rPr>
          <w:rFonts w:ascii="Calibri" w:cs="Calibri" w:eastAsia="Calibri" w:hAnsi="Calibri"/>
          <w:color w:val="0F172A"/>
          <w:sz w:val="22"/>
          <w:szCs w:val="22"/>
        </w:rPr>
        <w:t xml:space="preserve">After 3 confirmations, Chainlink VRF coordinator calls fulfillRandomWords(requestId, randomWords)</w:t>
      </w:r>
    </w:p>
    <w:p>
      <w:pPr>
        <w:pStyle w:val="ListParagraph"/>
        <w:numPr>
          <w:ilvl w:val="0"/>
          <w:numId w:val="3"/>
        </w:numPr>
        <w:spacing w:after="60" w:before="30"/>
      </w:pPr>
      <w:r>
        <w:rPr>
          <w:rFonts w:ascii="Calibri" w:cs="Calibri" w:eastAsia="Calibri" w:hAnsi="Calibri"/>
          <w:color w:val="0F172A"/>
          <w:sz w:val="22"/>
          <w:szCs w:val="22"/>
        </w:rPr>
        <w:t xml:space="preserve">Logic: if randomWords[0] % 1000 &lt; dropRate → loot drop occurs</w:t>
      </w:r>
    </w:p>
    <w:p>
      <w:pPr>
        <w:pStyle w:val="ListParagraph"/>
        <w:numPr>
          <w:ilvl w:val="0"/>
          <w:numId w:val="3"/>
        </w:numPr>
        <w:spacing w:after="60" w:before="30"/>
      </w:pPr>
      <w:r>
        <w:rPr>
          <w:rFonts w:ascii="Calibri" w:cs="Calibri" w:eastAsia="Calibri" w:hAnsi="Calibri"/>
          <w:color w:val="0F172A"/>
          <w:sz w:val="22"/>
          <w:szCs w:val="22"/>
        </w:rPr>
        <w:t xml:space="preserve">itemId = randomWords[0] % 5 → GameItems.mint(player, itemId, 1)</w:t>
      </w:r>
    </w:p>
    <w:p>
      <w:pPr>
        <w:pStyle w:val="ListParagraph"/>
        <w:numPr>
          <w:ilvl w:val="0"/>
          <w:numId w:val="3"/>
        </w:numPr>
        <w:spacing w:after="60" w:before="30"/>
      </w:pPr>
      <w:r>
        <w:rPr>
          <w:rFonts w:ascii="Calibri" w:cs="Calibri" w:eastAsia="Calibri" w:hAnsi="Calibri"/>
          <w:color w:val="0F172A"/>
          <w:sz w:val="22"/>
          <w:szCs w:val="22"/>
        </w:rPr>
        <w:t xml:space="preserve">LootDropped or LootMissed event emitted</w:t>
      </w:r>
    </w:p>
    <w:p>
      <w:pPr>
        <w:spacing w:after="120" w:before="0"/>
      </w:pPr>
      <w:r>
        <w:rPr>
          <w:sz w:val="22"/>
          <w:szCs w:val="22"/>
        </w:rPr>
        <w:t xml:space="preserve"/>
      </w:r>
    </w:p>
    <w:p>
      <w:pPr>
        <w:pStyle w:val="Heading2"/>
        <w:spacing w:after="140" w:before="320"/>
      </w:pPr>
      <w:r>
        <w:rPr>
          <w:rFonts w:ascii="Calibri" w:cs="Calibri" w:eastAsia="Calibri" w:hAnsi="Calibri"/>
          <w:b/>
          <w:bCs/>
          <w:color w:val="0F172A"/>
          <w:sz w:val="30"/>
          <w:szCs w:val="30"/>
        </w:rPr>
        <w:t xml:space="preserve">3.7 GameDAO &amp; TimelockController</w:t>
      </w:r>
    </w:p>
    <w:p>
      <w:pPr>
        <w:spacing w:after="120" w:before="40"/>
      </w:pPr>
      <w:r>
        <w:rPr>
          <w:rFonts w:ascii="Calibri" w:cs="Calibri" w:eastAsia="Calibri" w:hAnsi="Calibri"/>
          <w:color w:val="0F172A"/>
          <w:sz w:val="22"/>
          <w:szCs w:val="22"/>
        </w:rPr>
        <w:t xml:space="preserve">GameDAO is built on OpenZeppelin's modular Governor framework, combining GovernorSettings, GovernorCountingSimple, GovernorVotes, GovernorVotesQuorumFraction, and GovernorTimelockControl. All administrative functions of the protocol — fee changes, drop rate adjustments, contract upgrades, GAME minting — must pass through this governance pipeline.</w:t>
      </w:r>
    </w:p>
    <w:p>
      <w:pPr>
        <w:spacing w:after="12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gridSpan w:val="1"/>
            <w:tcBorders>
              <w:top w:val="single" w:color="1D4ED8" w:sz="4"/>
              <w:left w:val="single" w:color="1D4ED8" w:sz="4"/>
              <w:bottom w:val="single" w:color="1D4ED8" w:sz="4"/>
              <w:right w:val="single" w:color="1D4ED8" w:sz="4"/>
            </w:tcBorders>
            <w:shd w:fill="1D4ED8" w:val="clear"/>
            <w:tcMar>
              <w:top w:type="dxa" w:w="80"/>
              <w:left w:type="dxa" w:w="120"/>
              <w:bottom w:type="dxa" w:w="80"/>
              <w:right w:type="dxa" w:w="120"/>
            </w:tcMar>
          </w:tcPr>
          <w:p>
            <w:r>
              <w:rPr>
                <w:rFonts w:ascii="Calibri" w:cs="Calibri" w:eastAsia="Calibri" w:hAnsi="Calibri"/>
                <w:b/>
                <w:bCs/>
                <w:color w:val="FFFFFF"/>
                <w:sz w:val="20"/>
                <w:szCs w:val="20"/>
              </w:rPr>
              <w:t xml:space="preserve">Parameter</w:t>
            </w:r>
          </w:p>
        </w:tc>
        <w:tc>
          <w:tcPr>
            <w:tcW w:type="dxa" w:w="6360"/>
            <w:gridSpan w:val="1"/>
            <w:tcBorders>
              <w:top w:val="single" w:color="1D4ED8" w:sz="4"/>
              <w:left w:val="single" w:color="1D4ED8" w:sz="4"/>
              <w:bottom w:val="single" w:color="1D4ED8" w:sz="4"/>
              <w:right w:val="single" w:color="1D4ED8" w:sz="4"/>
            </w:tcBorders>
            <w:shd w:fill="1D4ED8" w:val="clear"/>
            <w:tcMar>
              <w:top w:type="dxa" w:w="80"/>
              <w:left w:type="dxa" w:w="120"/>
              <w:bottom w:type="dxa" w:w="80"/>
              <w:right w:type="dxa" w:w="120"/>
            </w:tcMar>
          </w:tcPr>
          <w:p>
            <w:r>
              <w:rPr>
                <w:rFonts w:ascii="Calibri" w:cs="Calibri" w:eastAsia="Calibri" w:hAnsi="Calibri"/>
                <w:b/>
                <w:bCs/>
                <w:color w:val="FFFFFF"/>
                <w:sz w:val="20"/>
                <w:szCs w:val="20"/>
              </w:rPr>
              <w:t xml:space="preserve">Value</w:t>
            </w:r>
          </w:p>
        </w:tc>
      </w:tr>
      <w:tr>
        <w:tc>
          <w:tcPr>
            <w:tcW w:type="dxa" w:w="300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bCs/>
                <w:color w:val="0F172A"/>
                <w:sz w:val="19"/>
                <w:szCs w:val="19"/>
              </w:rPr>
              <w:t xml:space="preserve">Voting Delay</w:t>
            </w:r>
          </w:p>
        </w:tc>
        <w:tc>
          <w:tcPr>
            <w:tcW w:type="dxa" w:w="636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1 day (86,400 seconds — timestamp clock)</w:t>
            </w:r>
          </w:p>
        </w:tc>
      </w:tr>
      <w:tr>
        <w:tc>
          <w:tcPr>
            <w:tcW w:type="dxa" w:w="30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bCs/>
                <w:color w:val="0F172A"/>
                <w:sz w:val="19"/>
                <w:szCs w:val="19"/>
              </w:rPr>
              <w:t xml:space="preserve">Voting Period</w:t>
            </w:r>
          </w:p>
        </w:tc>
        <w:tc>
          <w:tcPr>
            <w:tcW w:type="dxa" w:w="636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1 week (604,800 seconds)</w:t>
            </w:r>
          </w:p>
        </w:tc>
      </w:tr>
      <w:tr>
        <w:tc>
          <w:tcPr>
            <w:tcW w:type="dxa" w:w="300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bCs/>
                <w:color w:val="0F172A"/>
                <w:sz w:val="19"/>
                <w:szCs w:val="19"/>
              </w:rPr>
              <w:t xml:space="preserve">Quorum</w:t>
            </w:r>
          </w:p>
        </w:tc>
        <w:tc>
          <w:tcPr>
            <w:tcW w:type="dxa" w:w="636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4% of total GAME supply at proposal snapshot</w:t>
            </w:r>
          </w:p>
        </w:tc>
      </w:tr>
      <w:tr>
        <w:tc>
          <w:tcPr>
            <w:tcW w:type="dxa" w:w="30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bCs/>
                <w:color w:val="0F172A"/>
                <w:sz w:val="19"/>
                <w:szCs w:val="19"/>
              </w:rPr>
              <w:t xml:space="preserve">Proposal Threshold</w:t>
            </w:r>
          </w:p>
        </w:tc>
        <w:tc>
          <w:tcPr>
            <w:tcW w:type="dxa" w:w="636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1% of total GAME supply (1,000 GAME minimum)</w:t>
            </w:r>
          </w:p>
        </w:tc>
      </w:tr>
      <w:tr>
        <w:tc>
          <w:tcPr>
            <w:tcW w:type="dxa" w:w="300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bCs/>
                <w:color w:val="0F172A"/>
                <w:sz w:val="19"/>
                <w:szCs w:val="19"/>
              </w:rPr>
              <w:t xml:space="preserve">Timelock Delay</w:t>
            </w:r>
          </w:p>
        </w:tc>
        <w:tc>
          <w:tcPr>
            <w:tcW w:type="dxa" w:w="636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2 days (172,800 seconds) — mandatory execution delay</w:t>
            </w:r>
          </w:p>
        </w:tc>
      </w:tr>
      <w:tr>
        <w:tc>
          <w:tcPr>
            <w:tcW w:type="dxa" w:w="30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bCs/>
                <w:color w:val="0F172A"/>
                <w:sz w:val="19"/>
                <w:szCs w:val="19"/>
              </w:rPr>
              <w:t xml:space="preserve">Timelock Address</w:t>
            </w:r>
          </w:p>
        </w:tc>
        <w:tc>
          <w:tcPr>
            <w:tcW w:type="dxa" w:w="636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0x1ABA8B2a61196EDDd50C4456733D63Ff5f6139e0</w:t>
            </w:r>
          </w:p>
        </w:tc>
      </w:tr>
      <w:tr>
        <w:tc>
          <w:tcPr>
            <w:tcW w:type="dxa" w:w="300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bCs/>
                <w:color w:val="0F172A"/>
                <w:sz w:val="19"/>
                <w:szCs w:val="19"/>
              </w:rPr>
              <w:t xml:space="preserve">GameDAO Address</w:t>
            </w:r>
          </w:p>
        </w:tc>
        <w:tc>
          <w:tcPr>
            <w:tcW w:type="dxa" w:w="636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0xCb0aD118Fc15313305d138097A2E6AE21706A59C</w:t>
            </w:r>
          </w:p>
        </w:tc>
      </w:tr>
    </w:tbl>
    <w:p>
      <w:pPr>
        <w:spacing w:after="120" w:before="0"/>
      </w:pPr>
      <w:r>
        <w:rPr>
          <w:sz w:val="22"/>
          <w:szCs w:val="22"/>
        </w:rPr>
        <w:t xml:space="preserve"/>
      </w:r>
    </w:p>
    <w:p>
      <w:pPr>
        <w:pStyle w:val="Heading2"/>
        <w:spacing w:after="140" w:before="320"/>
      </w:pPr>
      <w:r>
        <w:rPr>
          <w:rFonts w:ascii="Calibri" w:cs="Calibri" w:eastAsia="Calibri" w:hAnsi="Calibri"/>
          <w:b/>
          <w:bCs/>
          <w:color w:val="0F172A"/>
          <w:sz w:val="30"/>
          <w:szCs w:val="30"/>
        </w:rPr>
        <w:t xml:space="preserve">3.8 GameFactory — CREATE &amp; CREATE2</w:t>
      </w:r>
    </w:p>
    <w:p>
      <w:pPr>
        <w:spacing w:after="120" w:before="40"/>
      </w:pPr>
      <w:r>
        <w:rPr>
          <w:rFonts w:ascii="Calibri" w:cs="Calibri" w:eastAsia="Calibri" w:hAnsi="Calibri"/>
          <w:color w:val="0F172A"/>
          <w:sz w:val="22"/>
          <w:szCs w:val="22"/>
        </w:rPr>
        <w:t xml:space="preserve">GameFactory provides factory deployment functionality for GameItems and GameAMM instances. It supports both standard CREATE (non-deterministic address, sequential nonce-based) and CREATE2 (deterministic address based on deployer, salt, and bytecode hash) deployment modes.</w:t>
      </w:r>
    </w:p>
    <w:p>
      <w:pPr>
        <w:spacing w:after="120" w:before="0"/>
      </w:pPr>
      <w:r>
        <w:rPr>
          <w:sz w:val="22"/>
          <w:szCs w:val="22"/>
        </w:rPr>
        <w:t xml:space="preserve"/>
      </w:r>
    </w:p>
    <w:p>
      <w:pPr>
        <w:pStyle w:val="ListParagraph"/>
        <w:numPr>
          <w:ilvl w:val="0"/>
          <w:numId w:val="2"/>
        </w:numPr>
        <w:spacing w:after="60" w:before="30"/>
      </w:pPr>
      <w:r>
        <w:rPr>
          <w:rFonts w:ascii="Calibri" w:cs="Calibri" w:eastAsia="Calibri" w:hAnsi="Calibri"/>
          <w:color w:val="0F172A"/>
          <w:sz w:val="22"/>
          <w:szCs w:val="22"/>
        </w:rPr>
        <w:t xml:space="preserve">deployGameItems(admin) — deploys GameItems via CREATE, grants admin the DEFAULT_ADMIN_ROLE</w:t>
      </w:r>
    </w:p>
    <w:p>
      <w:pPr>
        <w:pStyle w:val="ListParagraph"/>
        <w:numPr>
          <w:ilvl w:val="0"/>
          <w:numId w:val="2"/>
        </w:numPr>
        <w:spacing w:after="60" w:before="30"/>
      </w:pPr>
      <w:r>
        <w:rPr>
          <w:rFonts w:ascii="Calibri" w:cs="Calibri" w:eastAsia="Calibri" w:hAnsi="Calibri"/>
          <w:color w:val="0F172A"/>
          <w:sz w:val="22"/>
          <w:szCs w:val="22"/>
        </w:rPr>
        <w:t xml:space="preserve">deployGameItemsDeterministic(salt, admin) — deploys GameItems via CREATE2 with salt</w:t>
      </w:r>
    </w:p>
    <w:p>
      <w:pPr>
        <w:pStyle w:val="ListParagraph"/>
        <w:numPr>
          <w:ilvl w:val="0"/>
          <w:numId w:val="2"/>
        </w:numPr>
        <w:spacing w:after="60" w:before="30"/>
      </w:pPr>
      <w:r>
        <w:rPr>
          <w:rFonts w:ascii="Calibri" w:cs="Calibri" w:eastAsia="Calibri" w:hAnsi="Calibri"/>
          <w:color w:val="0F172A"/>
          <w:sz w:val="22"/>
          <w:szCs w:val="22"/>
        </w:rPr>
        <w:t xml:space="preserve">deployGameAMM(tokenA, tokenB) — deploys GameAMM via CREATE for any token pair</w:t>
      </w:r>
    </w:p>
    <w:p>
      <w:pPr>
        <w:pStyle w:val="ListParagraph"/>
        <w:numPr>
          <w:ilvl w:val="0"/>
          <w:numId w:val="2"/>
        </w:numPr>
        <w:spacing w:after="60" w:before="30"/>
      </w:pPr>
      <w:r>
        <w:rPr>
          <w:rFonts w:ascii="Calibri" w:cs="Calibri" w:eastAsia="Calibri" w:hAnsi="Calibri"/>
          <w:color w:val="0F172A"/>
          <w:sz w:val="22"/>
          <w:szCs w:val="22"/>
        </w:rPr>
        <w:t xml:space="preserve">predictGameItemsAddress(salt) — off-chain address prediction for CREATE2 deployments</w:t>
      </w:r>
    </w:p>
    <w:p>
      <w:pPr>
        <w:spacing w:after="120" w:before="0"/>
      </w:pPr>
      <w:r>
        <w:rPr>
          <w:sz w:val="22"/>
          <w:szCs w:val="22"/>
        </w:rPr>
        <w:t xml:space="preserve"/>
      </w:r>
    </w:p>
    <w:p>
      <w:pPr>
        <w:spacing w:after="120" w:before="40"/>
      </w:pPr>
      <w:r>
        <w:rPr>
          <w:rFonts w:ascii="Calibri" w:cs="Calibri" w:eastAsia="Calibri" w:hAnsi="Calibri"/>
          <w:color w:val="0F172A"/>
          <w:sz w:val="22"/>
          <w:szCs w:val="22"/>
        </w:rPr>
        <w:t xml:space="preserve">The predictGameItemsAddress function allows front-ends and scripts to pre-compute the deployment address before the transaction is sent. This is essential for protocol integration scenarios where the deployed contract address must be known in advance (e.g., to configure role grants before deployment).</w:t>
      </w:r>
    </w:p>
    <w:p>
      <w:pPr>
        <w:spacing w:after="120" w:before="0"/>
      </w:pPr>
      <w:r>
        <w:rPr>
          <w:sz w:val="22"/>
          <w:szCs w:val="22"/>
        </w:rPr>
        <w:t xml:space="preserve"/>
      </w:r>
    </w:p>
    <w:p>
      <w:r>
        <w:br w:type="page"/>
      </w:r>
    </w:p>
    <w:p>
      <w:pPr>
        <w:pStyle w:val="Heading1"/>
        <w:pBdr>
          <w:bottom w:val="single" w:color="1D4ED8" w:sz="4" w:space="6"/>
        </w:pBdr>
        <w:spacing w:after="200" w:before="480"/>
      </w:pPr>
      <w:r>
        <w:rPr>
          <w:rFonts w:ascii="Calibri" w:cs="Calibri" w:eastAsia="Calibri" w:hAnsi="Calibri"/>
          <w:b/>
          <w:bCs/>
          <w:color w:val="1D4ED8"/>
          <w:sz w:val="40"/>
          <w:szCs w:val="40"/>
        </w:rPr>
        <w:t xml:space="preserve">4. Security Audit Analysis</w:t>
      </w:r>
    </w:p>
    <w:p>
      <w:pPr>
        <w:pStyle w:val="Heading2"/>
        <w:spacing w:after="140" w:before="320"/>
      </w:pPr>
      <w:r>
        <w:rPr>
          <w:rFonts w:ascii="Calibri" w:cs="Calibri" w:eastAsia="Calibri" w:hAnsi="Calibri"/>
          <w:b/>
          <w:bCs/>
          <w:color w:val="0F172A"/>
          <w:sz w:val="30"/>
          <w:szCs w:val="30"/>
        </w:rPr>
        <w:t xml:space="preserve">4.1 Audit Overview</w:t>
      </w:r>
    </w:p>
    <w:p>
      <w:pPr>
        <w:spacing w:after="120" w:before="40"/>
      </w:pPr>
      <w:r>
        <w:rPr>
          <w:rFonts w:ascii="Calibri" w:cs="Calibri" w:eastAsia="Calibri" w:hAnsi="Calibri"/>
          <w:color w:val="0F172A"/>
          <w:sz w:val="22"/>
          <w:szCs w:val="22"/>
        </w:rPr>
        <w:t xml:space="preserve">We conducted a comprehensive internal security audit of the GameFi Protocol smart contracts. The audit combined manual code review with automated static analysis tools (Slither) and dynamic testing via Foundry's fuzz and invariant testing frameworks. The scope covered all 10 production contracts in src/.</w:t>
      </w:r>
    </w:p>
    <w:p>
      <w:pPr>
        <w:spacing w:after="12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800"/>
            <w:gridSpan w:val="1"/>
            <w:tcBorders>
              <w:top w:val="single" w:color="1D4ED8" w:sz="4"/>
              <w:left w:val="single" w:color="1D4ED8" w:sz="4"/>
              <w:bottom w:val="single" w:color="1D4ED8" w:sz="4"/>
              <w:right w:val="single" w:color="1D4ED8" w:sz="4"/>
            </w:tcBorders>
            <w:shd w:fill="1D4ED8" w:val="clear"/>
            <w:tcMar>
              <w:top w:type="dxa" w:w="80"/>
              <w:left w:type="dxa" w:w="120"/>
              <w:bottom w:type="dxa" w:w="80"/>
              <w:right w:type="dxa" w:w="120"/>
            </w:tcMar>
          </w:tcPr>
          <w:p>
            <w:r>
              <w:rPr>
                <w:rFonts w:ascii="Calibri" w:cs="Calibri" w:eastAsia="Calibri" w:hAnsi="Calibri"/>
                <w:b/>
                <w:bCs/>
                <w:color w:val="FFFFFF"/>
                <w:sz w:val="20"/>
                <w:szCs w:val="20"/>
              </w:rPr>
              <w:t xml:space="preserve">Severity</w:t>
            </w:r>
          </w:p>
        </w:tc>
        <w:tc>
          <w:tcPr>
            <w:tcW w:type="dxa" w:w="1440"/>
            <w:gridSpan w:val="1"/>
            <w:tcBorders>
              <w:top w:val="single" w:color="1D4ED8" w:sz="4"/>
              <w:left w:val="single" w:color="1D4ED8" w:sz="4"/>
              <w:bottom w:val="single" w:color="1D4ED8" w:sz="4"/>
              <w:right w:val="single" w:color="1D4ED8" w:sz="4"/>
            </w:tcBorders>
            <w:shd w:fill="1D4ED8" w:val="clear"/>
            <w:tcMar>
              <w:top w:type="dxa" w:w="80"/>
              <w:left w:type="dxa" w:w="120"/>
              <w:bottom w:type="dxa" w:w="80"/>
              <w:right w:type="dxa" w:w="120"/>
            </w:tcMar>
          </w:tcPr>
          <w:p>
            <w:r>
              <w:rPr>
                <w:rFonts w:ascii="Calibri" w:cs="Calibri" w:eastAsia="Calibri" w:hAnsi="Calibri"/>
                <w:b/>
                <w:bCs/>
                <w:color w:val="FFFFFF"/>
                <w:sz w:val="20"/>
                <w:szCs w:val="20"/>
              </w:rPr>
              <w:t xml:space="preserve">Count</w:t>
            </w:r>
          </w:p>
        </w:tc>
        <w:tc>
          <w:tcPr>
            <w:tcW w:type="dxa" w:w="6120"/>
            <w:gridSpan w:val="1"/>
            <w:tcBorders>
              <w:top w:val="single" w:color="1D4ED8" w:sz="4"/>
              <w:left w:val="single" w:color="1D4ED8" w:sz="4"/>
              <w:bottom w:val="single" w:color="1D4ED8" w:sz="4"/>
              <w:right w:val="single" w:color="1D4ED8" w:sz="4"/>
            </w:tcBorders>
            <w:shd w:fill="1D4ED8" w:val="clear"/>
            <w:tcMar>
              <w:top w:type="dxa" w:w="80"/>
              <w:left w:type="dxa" w:w="120"/>
              <w:bottom w:type="dxa" w:w="80"/>
              <w:right w:type="dxa" w:w="120"/>
            </w:tcMar>
          </w:tcPr>
          <w:p>
            <w:r>
              <w:rPr>
                <w:rFonts w:ascii="Calibri" w:cs="Calibri" w:eastAsia="Calibri" w:hAnsi="Calibri"/>
                <w:b/>
                <w:bCs/>
                <w:color w:val="FFFFFF"/>
                <w:sz w:val="20"/>
                <w:szCs w:val="20"/>
              </w:rPr>
              <w:t xml:space="preserve">Resolution</w:t>
            </w:r>
          </w:p>
        </w:tc>
      </w:tr>
      <w:tr>
        <w:tc>
          <w:tcPr>
            <w:tcW w:type="dxa" w:w="1800"/>
            <w:tcBorders>
              <w:top w:val="single" w:color="CBD5E1" w:sz="4"/>
              <w:left w:val="single" w:color="CBD5E1" w:sz="4"/>
              <w:bottom w:val="single" w:color="CBD5E1" w:sz="4"/>
              <w:right w:val="single" w:color="CBD5E1" w:sz="4"/>
            </w:tcBorders>
            <w:shd w:fill="FEF2F2" w:val="clear"/>
            <w:tcMar>
              <w:top w:type="dxa" w:w="70"/>
              <w:left w:type="dxa" w:w="120"/>
              <w:bottom w:type="dxa" w:w="70"/>
              <w:right w:type="dxa" w:w="120"/>
            </w:tcMar>
            <w:vAlign w:val="center"/>
          </w:tcPr>
          <w:p>
            <w:pPr>
              <w:jc w:val="left"/>
            </w:pPr>
            <w:r>
              <w:rPr>
                <w:rFonts w:ascii="Calibri" w:cs="Calibri" w:eastAsia="Calibri" w:hAnsi="Calibri"/>
                <w:b/>
                <w:bCs/>
                <w:color w:val="DC2626"/>
                <w:sz w:val="19"/>
                <w:szCs w:val="19"/>
              </w:rPr>
              <w:t xml:space="preserve">CRITICAL</w:t>
            </w:r>
          </w:p>
        </w:tc>
        <w:tc>
          <w:tcPr>
            <w:tcW w:type="dxa" w:w="1440"/>
            <w:tcBorders>
              <w:top w:val="single" w:color="CBD5E1" w:sz="4"/>
              <w:left w:val="single" w:color="CBD5E1" w:sz="4"/>
              <w:bottom w:val="single" w:color="CBD5E1" w:sz="4"/>
              <w:right w:val="single" w:color="CBD5E1" w:sz="4"/>
            </w:tcBorders>
            <w:shd w:fill="FEF2F2" w:val="clear"/>
            <w:tcMar>
              <w:top w:type="dxa" w:w="70"/>
              <w:left w:type="dxa" w:w="120"/>
              <w:bottom w:type="dxa" w:w="70"/>
              <w:right w:type="dxa" w:w="120"/>
            </w:tcMar>
            <w:vAlign w:val="center"/>
          </w:tcPr>
          <w:p>
            <w:pPr>
              <w:jc w:val="left"/>
            </w:pPr>
            <w:r>
              <w:rPr>
                <w:rFonts w:ascii="Calibri" w:cs="Calibri" w:eastAsia="Calibri" w:hAnsi="Calibri"/>
                <w:b/>
                <w:bCs/>
                <w:color w:val="DC2626"/>
                <w:sz w:val="19"/>
                <w:szCs w:val="19"/>
              </w:rPr>
              <w:t xml:space="preserve">0</w:t>
            </w:r>
          </w:p>
        </w:tc>
        <w:tc>
          <w:tcPr>
            <w:tcW w:type="dxa" w:w="6120"/>
            <w:tcBorders>
              <w:top w:val="single" w:color="CBD5E1" w:sz="4"/>
              <w:left w:val="single" w:color="CBD5E1" w:sz="4"/>
              <w:bottom w:val="single" w:color="CBD5E1" w:sz="4"/>
              <w:right w:val="single" w:color="CBD5E1" w:sz="4"/>
            </w:tcBorders>
            <w:shd w:fill="FEF2F2"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No critical issues found</w:t>
            </w:r>
          </w:p>
        </w:tc>
      </w:tr>
      <w:tr>
        <w:tc>
          <w:tcPr>
            <w:tcW w:type="dxa" w:w="18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bCs/>
                <w:color w:val="DC2626"/>
                <w:sz w:val="19"/>
                <w:szCs w:val="19"/>
              </w:rPr>
              <w:t xml:space="preserve">HIGH</w:t>
            </w:r>
          </w:p>
        </w:tc>
        <w:tc>
          <w:tcPr>
            <w:tcW w:type="dxa" w:w="144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bCs/>
                <w:color w:val="DC2626"/>
                <w:sz w:val="19"/>
                <w:szCs w:val="19"/>
              </w:rPr>
              <w:t xml:space="preserve">0</w:t>
            </w:r>
          </w:p>
        </w:tc>
        <w:tc>
          <w:tcPr>
            <w:tcW w:type="dxa" w:w="612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No high-severity issues found</w:t>
            </w:r>
          </w:p>
        </w:tc>
      </w:tr>
      <w:tr>
        <w:tc>
          <w:tcPr>
            <w:tcW w:type="dxa" w:w="1800"/>
            <w:tcBorders>
              <w:top w:val="single" w:color="CBD5E1" w:sz="4"/>
              <w:left w:val="single" w:color="CBD5E1" w:sz="4"/>
              <w:bottom w:val="single" w:color="CBD5E1" w:sz="4"/>
              <w:right w:val="single" w:color="CBD5E1" w:sz="4"/>
            </w:tcBorders>
            <w:shd w:fill="FFFBEB" w:val="clear"/>
            <w:tcMar>
              <w:top w:type="dxa" w:w="70"/>
              <w:left w:type="dxa" w:w="120"/>
              <w:bottom w:type="dxa" w:w="70"/>
              <w:right w:type="dxa" w:w="120"/>
            </w:tcMar>
            <w:vAlign w:val="center"/>
          </w:tcPr>
          <w:p>
            <w:pPr>
              <w:jc w:val="left"/>
            </w:pPr>
            <w:r>
              <w:rPr>
                <w:rFonts w:ascii="Calibri" w:cs="Calibri" w:eastAsia="Calibri" w:hAnsi="Calibri"/>
                <w:b/>
                <w:bCs/>
                <w:color w:val="B45309"/>
                <w:sz w:val="19"/>
                <w:szCs w:val="19"/>
              </w:rPr>
              <w:t xml:space="preserve">MEDIUM</w:t>
            </w:r>
          </w:p>
        </w:tc>
        <w:tc>
          <w:tcPr>
            <w:tcW w:type="dxa" w:w="1440"/>
            <w:tcBorders>
              <w:top w:val="single" w:color="CBD5E1" w:sz="4"/>
              <w:left w:val="single" w:color="CBD5E1" w:sz="4"/>
              <w:bottom w:val="single" w:color="CBD5E1" w:sz="4"/>
              <w:right w:val="single" w:color="CBD5E1" w:sz="4"/>
            </w:tcBorders>
            <w:shd w:fill="FFFBEB" w:val="clear"/>
            <w:tcMar>
              <w:top w:type="dxa" w:w="70"/>
              <w:left w:type="dxa" w:w="120"/>
              <w:bottom w:type="dxa" w:w="70"/>
              <w:right w:type="dxa" w:w="120"/>
            </w:tcMar>
            <w:vAlign w:val="center"/>
          </w:tcPr>
          <w:p>
            <w:pPr>
              <w:jc w:val="left"/>
            </w:pPr>
            <w:r>
              <w:rPr>
                <w:rFonts w:ascii="Calibri" w:cs="Calibri" w:eastAsia="Calibri" w:hAnsi="Calibri"/>
                <w:b/>
                <w:bCs/>
                <w:color w:val="B45309"/>
                <w:sz w:val="19"/>
                <w:szCs w:val="19"/>
              </w:rPr>
              <w:t xml:space="preserve">0</w:t>
            </w:r>
          </w:p>
        </w:tc>
        <w:tc>
          <w:tcPr>
            <w:tcW w:type="dxa" w:w="6120"/>
            <w:tcBorders>
              <w:top w:val="single" w:color="CBD5E1" w:sz="4"/>
              <w:left w:val="single" w:color="CBD5E1" w:sz="4"/>
              <w:bottom w:val="single" w:color="CBD5E1" w:sz="4"/>
              <w:right w:val="single" w:color="CBD5E1" w:sz="4"/>
            </w:tcBorders>
            <w:shd w:fill="FFFBEB"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No medium-severity issues found</w:t>
            </w:r>
          </w:p>
        </w:tc>
      </w:tr>
      <w:tr>
        <w:tc>
          <w:tcPr>
            <w:tcW w:type="dxa" w:w="18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bCs/>
                <w:color w:val="B45309"/>
                <w:sz w:val="19"/>
                <w:szCs w:val="19"/>
              </w:rPr>
              <w:t xml:space="preserve">LOW</w:t>
            </w:r>
          </w:p>
        </w:tc>
        <w:tc>
          <w:tcPr>
            <w:tcW w:type="dxa" w:w="144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bCs/>
                <w:color w:val="B45309"/>
                <w:sz w:val="19"/>
                <w:szCs w:val="19"/>
              </w:rPr>
              <w:t xml:space="preserve">3</w:t>
            </w:r>
          </w:p>
        </w:tc>
        <w:tc>
          <w:tcPr>
            <w:tcW w:type="dxa" w:w="612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Centralization risk, VRF gas limit, proposal threshold — all acknowledged</w:t>
            </w:r>
          </w:p>
        </w:tc>
      </w:tr>
      <w:tr>
        <w:tc>
          <w:tcPr>
            <w:tcW w:type="dxa" w:w="18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center"/>
          </w:tcPr>
          <w:p>
            <w:pPr>
              <w:jc w:val="left"/>
            </w:pPr>
            <w:r>
              <w:rPr>
                <w:rFonts w:ascii="Calibri" w:cs="Calibri" w:eastAsia="Calibri" w:hAnsi="Calibri"/>
                <w:b/>
                <w:bCs/>
                <w:color w:val="475569"/>
                <w:sz w:val="19"/>
                <w:szCs w:val="19"/>
              </w:rPr>
              <w:t xml:space="preserve">INFORMATIONAL</w:t>
            </w:r>
          </w:p>
        </w:tc>
        <w:tc>
          <w:tcPr>
            <w:tcW w:type="dxa" w:w="144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center"/>
          </w:tcPr>
          <w:p>
            <w:pPr>
              <w:jc w:val="left"/>
            </w:pPr>
            <w:r>
              <w:rPr>
                <w:rFonts w:ascii="Calibri" w:cs="Calibri" w:eastAsia="Calibri" w:hAnsi="Calibri"/>
                <w:b/>
                <w:bCs/>
                <w:color w:val="475569"/>
                <w:sz w:val="19"/>
                <w:szCs w:val="19"/>
              </w:rPr>
              <w:t xml:space="preserve">1</w:t>
            </w:r>
          </w:p>
        </w:tc>
        <w:tc>
          <w:tcPr>
            <w:tcW w:type="dxa" w:w="612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Gas optimization in NFTRentalVault — acknowledged</w:t>
            </w:r>
          </w:p>
        </w:tc>
      </w:tr>
    </w:tbl>
    <w:p>
      <w:pPr>
        <w:spacing w:after="120" w:before="0"/>
      </w:pPr>
      <w:r>
        <w:rPr>
          <w:sz w:val="22"/>
          <w:szCs w:val="22"/>
        </w:rPr>
        <w:t xml:space="preserve"/>
      </w:r>
    </w:p>
    <w:p>
      <w:pPr>
        <w:pStyle w:val="Heading2"/>
        <w:spacing w:after="140" w:before="320"/>
      </w:pPr>
      <w:r>
        <w:rPr>
          <w:rFonts w:ascii="Calibri" w:cs="Calibri" w:eastAsia="Calibri" w:hAnsi="Calibri"/>
          <w:b/>
          <w:bCs/>
          <w:color w:val="0F172A"/>
          <w:sz w:val="30"/>
          <w:szCs w:val="30"/>
        </w:rPr>
        <w:t xml:space="preserve">4.2 Audit Methodology</w:t>
      </w:r>
    </w:p>
    <w:p>
      <w:pPr>
        <w:spacing w:after="120" w:before="40"/>
      </w:pPr>
      <w:r>
        <w:rPr>
          <w:rFonts w:ascii="Calibri" w:cs="Calibri" w:eastAsia="Calibri" w:hAnsi="Calibri"/>
          <w:color w:val="0F172A"/>
          <w:sz w:val="22"/>
          <w:szCs w:val="22"/>
        </w:rPr>
        <w:t xml:space="preserve">The audit used a multi-layered approach combining automated tools and manual analysis:</w:t>
      </w:r>
    </w:p>
    <w:p>
      <w:pPr>
        <w:spacing w:after="120" w:before="0"/>
      </w:pPr>
      <w:r>
        <w:rPr>
          <w:sz w:val="22"/>
          <w:szCs w:val="22"/>
        </w:rPr>
        <w:t xml:space="preserve"/>
      </w:r>
    </w:p>
    <w:p>
      <w:pPr>
        <w:pStyle w:val="ListParagraph"/>
        <w:numPr>
          <w:ilvl w:val="0"/>
          <w:numId w:val="2"/>
        </w:numPr>
        <w:spacing w:after="60" w:before="30"/>
      </w:pPr>
      <w:r>
        <w:rPr>
          <w:rFonts w:ascii="Calibri" w:cs="Calibri" w:eastAsia="Calibri" w:hAnsi="Calibri"/>
          <w:color w:val="0F172A"/>
          <w:sz w:val="22"/>
          <w:szCs w:val="22"/>
        </w:rPr>
        <w:t xml:space="preserve">Slither v0.10.x — automated static analysis detecting common vulnerability patterns (reentrancy, integer overflow, access control issues, gas optimizations)</w:t>
      </w:r>
    </w:p>
    <w:p>
      <w:pPr>
        <w:pStyle w:val="ListParagraph"/>
        <w:numPr>
          <w:ilvl w:val="0"/>
          <w:numId w:val="2"/>
        </w:numPr>
        <w:spacing w:after="60" w:before="30"/>
      </w:pPr>
      <w:r>
        <w:rPr>
          <w:rFonts w:ascii="Calibri" w:cs="Calibri" w:eastAsia="Calibri" w:hAnsi="Calibri"/>
          <w:color w:val="0F172A"/>
          <w:sz w:val="22"/>
          <w:szCs w:val="22"/>
        </w:rPr>
        <w:t xml:space="preserve">Forge Test — 133 tests covering unit, fuzz, invariant, and fork scenarios</w:t>
      </w:r>
    </w:p>
    <w:p>
      <w:pPr>
        <w:pStyle w:val="ListParagraph"/>
        <w:numPr>
          <w:ilvl w:val="0"/>
          <w:numId w:val="2"/>
        </w:numPr>
        <w:spacing w:after="60" w:before="30"/>
      </w:pPr>
      <w:r>
        <w:rPr>
          <w:rFonts w:ascii="Calibri" w:cs="Calibri" w:eastAsia="Calibri" w:hAnsi="Calibri"/>
          <w:color w:val="0F172A"/>
          <w:sz w:val="22"/>
          <w:szCs w:val="22"/>
        </w:rPr>
        <w:t xml:space="preserve">Forge Coverage — line and branch coverage analysis (≥90% achieved)</w:t>
      </w:r>
    </w:p>
    <w:p>
      <w:pPr>
        <w:pStyle w:val="ListParagraph"/>
        <w:numPr>
          <w:ilvl w:val="0"/>
          <w:numId w:val="2"/>
        </w:numPr>
        <w:spacing w:after="60" w:before="30"/>
      </w:pPr>
      <w:r>
        <w:rPr>
          <w:rFonts w:ascii="Calibri" w:cs="Calibri" w:eastAsia="Calibri" w:hAnsi="Calibri"/>
          <w:color w:val="0F172A"/>
          <w:sz w:val="22"/>
          <w:szCs w:val="22"/>
        </w:rPr>
        <w:t xml:space="preserve">Forge Snapshot — gas consumption benchmarking for all public functions</w:t>
      </w:r>
    </w:p>
    <w:p>
      <w:pPr>
        <w:pStyle w:val="ListParagraph"/>
        <w:numPr>
          <w:ilvl w:val="0"/>
          <w:numId w:val="2"/>
        </w:numPr>
        <w:spacing w:after="60" w:before="30"/>
      </w:pPr>
      <w:r>
        <w:rPr>
          <w:rFonts w:ascii="Calibri" w:cs="Calibri" w:eastAsia="Calibri" w:hAnsi="Calibri"/>
          <w:color w:val="0F172A"/>
          <w:sz w:val="22"/>
          <w:szCs w:val="22"/>
        </w:rPr>
        <w:t xml:space="preserve">Manual Review — function-by-function inspection for business logic errors, economic attack vectors, and protocol-specific risks</w:t>
      </w:r>
    </w:p>
    <w:p>
      <w:pPr>
        <w:spacing w:after="120" w:before="0"/>
      </w:pPr>
      <w:r>
        <w:rPr>
          <w:sz w:val="22"/>
          <w:szCs w:val="22"/>
        </w:rPr>
        <w:t xml:space="preserve"/>
      </w:r>
    </w:p>
    <w:p>
      <w:pPr>
        <w:pStyle w:val="Heading2"/>
        <w:spacing w:after="140" w:before="320"/>
      </w:pPr>
      <w:r>
        <w:rPr>
          <w:rFonts w:ascii="Calibri" w:cs="Calibri" w:eastAsia="Calibri" w:hAnsi="Calibri"/>
          <w:b/>
          <w:bCs/>
          <w:color w:val="0F172A"/>
          <w:sz w:val="30"/>
          <w:szCs w:val="30"/>
        </w:rPr>
        <w:t xml:space="preserve">4.3 Detailed Findings</w:t>
      </w:r>
    </w:p>
    <w:p>
      <w:pPr>
        <w:pStyle w:val="Heading3"/>
        <w:spacing w:after="100" w:before="240"/>
      </w:pPr>
      <w:r>
        <w:rPr>
          <w:rFonts w:ascii="Calibri" w:cs="Calibri" w:eastAsia="Calibri" w:hAnsi="Calibri"/>
          <w:b/>
          <w:bCs/>
          <w:color w:val="0891B2"/>
          <w:sz w:val="24"/>
          <w:szCs w:val="24"/>
        </w:rPr>
        <w:t xml:space="preserve">LOW-01: Centralized Mint Authority in GameToken</w:t>
      </w:r>
    </w:p>
    <w:p>
      <w:pPr>
        <w:spacing w:after="120" w:before="40"/>
      </w:pPr>
      <w:r>
        <w:rPr>
          <w:rFonts w:ascii="Calibri" w:cs="Calibri" w:eastAsia="Calibri" w:hAnsi="Calibri"/>
          <w:color w:val="0F172A"/>
          <w:sz w:val="22"/>
          <w:szCs w:val="22"/>
        </w:rPr>
        <w:t xml:space="preserve">Severity: Low  |  Location: GameToken.sol  |  Function: mint(address to, uint256 amount)</w:t>
      </w:r>
    </w:p>
    <w:p>
      <w:pPr>
        <w:spacing w:after="120" w:before="0"/>
      </w:pPr>
      <w:r>
        <w:rPr>
          <w:sz w:val="22"/>
          <w:szCs w:val="22"/>
        </w:rPr>
        <w:t xml:space="preserve"/>
      </w:r>
    </w:p>
    <w:p>
      <w:pPr>
        <w:spacing w:after="120" w:before="40"/>
      </w:pPr>
      <w:r>
        <w:rPr>
          <w:rFonts w:ascii="Calibri" w:cs="Calibri" w:eastAsia="Calibri" w:hAnsi="Calibri"/>
          <w:color w:val="0F172A"/>
          <w:sz w:val="22"/>
          <w:szCs w:val="22"/>
        </w:rPr>
        <w:t xml:space="preserve">Description: GameToken.mint() is protected by onlyOwner. During deployment, the deployer wallet holds owner privileges and can mint up to MAX_SUPPLY GAME tokens without any governance approval. If the deployer's private key is compromised before ownership is transferred to the TimelockController, an attacker could mint the entire remaining supply, diluting all token holders and gaining majority governance control.</w:t>
      </w:r>
    </w:p>
    <w:p>
      <w:pPr>
        <w:spacing w:after="120" w:before="0"/>
      </w:pPr>
      <w:r>
        <w:rPr>
          <w:sz w:val="22"/>
          <w:szCs w:val="22"/>
        </w:rPr>
        <w:t xml:space="preserve"/>
      </w:r>
    </w:p>
    <w:p>
      <w:pPr>
        <w:pBdr>
          <w:left w:val="thick" w:color="DC2626" w:sz="12" w:space="8"/>
        </w:pBdr>
        <w:spacing w:after="100" w:before="100"/>
        <w:ind w:left="360" w:right="360"/>
      </w:pPr>
      <w:r>
        <w:rPr>
          <w:rFonts w:ascii="Calibri" w:cs="Calibri" w:eastAsia="Calibri" w:hAnsi="Calibri"/>
          <w:b/>
          <w:bCs/>
          <w:color w:val="DC2626"/>
          <w:sz w:val="22"/>
          <w:szCs w:val="22"/>
        </w:rPr>
        <w:t xml:space="preserve">Impact: </w:t>
      </w:r>
      <w:r>
        <w:rPr>
          <w:rFonts w:ascii="Calibri" w:cs="Calibri" w:eastAsia="Calibri" w:hAnsi="Calibri"/>
          <w:color w:val="0F172A"/>
          <w:sz w:val="22"/>
          <w:szCs w:val="22"/>
        </w:rPr>
        <w:t xml:space="preserve">Unauthorized minting up to MAX_SUPPLY, potential governance takeover, token dilution for all holders</w:t>
      </w:r>
    </w:p>
    <w:p>
      <w:pPr>
        <w:spacing w:after="120" w:before="0"/>
      </w:pPr>
      <w:r>
        <w:rPr>
          <w:sz w:val="22"/>
          <w:szCs w:val="22"/>
        </w:rPr>
        <w:t xml:space="preserve"/>
      </w:r>
    </w:p>
    <w:p>
      <w:pPr>
        <w:spacing w:after="120" w:before="40"/>
      </w:pPr>
      <w:r>
        <w:rPr>
          <w:rFonts w:ascii="Calibri" w:cs="Calibri" w:eastAsia="Calibri" w:hAnsi="Calibri"/>
          <w:color w:val="0F172A"/>
          <w:sz w:val="22"/>
          <w:szCs w:val="22"/>
        </w:rPr>
        <w:t xml:space="preserve">Mitigation Applied: Deployment script transfers ownership to TimelockController immediately after initial setup. In the current testnet deployment, this transfer is performed within the same deployment transaction batch. For production deployment, a formal multi-signature wallet should serve as an intermediate owner before Timelock transfer.</w:t>
      </w:r>
    </w:p>
    <w:p>
      <w:pPr>
        <w:spacing w:after="120" w:before="0"/>
      </w:pPr>
      <w:r>
        <w:rPr>
          <w:sz w:val="22"/>
          <w:szCs w:val="22"/>
        </w:rPr>
        <w:t xml:space="preserve"/>
      </w:r>
    </w:p>
    <w:p>
      <w:pPr>
        <w:pBdr>
          <w:left w:val="thick" w:color="0F766E" w:sz="12" w:space="8"/>
        </w:pBdr>
        <w:spacing w:after="100" w:before="100"/>
        <w:ind w:left="360" w:right="360"/>
      </w:pPr>
      <w:r>
        <w:rPr>
          <w:rFonts w:ascii="Calibri" w:cs="Calibri" w:eastAsia="Calibri" w:hAnsi="Calibri"/>
          <w:b/>
          <w:bCs/>
          <w:color w:val="0F766E"/>
          <w:sz w:val="22"/>
          <w:szCs w:val="22"/>
        </w:rPr>
        <w:t xml:space="preserve">Status: </w:t>
      </w:r>
      <w:r>
        <w:rPr>
          <w:rFonts w:ascii="Calibri" w:cs="Calibri" w:eastAsia="Calibri" w:hAnsi="Calibri"/>
          <w:color w:val="0F172A"/>
          <w:sz w:val="22"/>
          <w:szCs w:val="22"/>
        </w:rPr>
        <w:t xml:space="preserve">Acknowledged — mitigated by immediate ownership transfer to Timelock in deployment script</w:t>
      </w:r>
    </w:p>
    <w:p>
      <w:pPr>
        <w:spacing w:after="120" w:before="0"/>
      </w:pPr>
      <w:r>
        <w:rPr>
          <w:sz w:val="22"/>
          <w:szCs w:val="22"/>
        </w:rPr>
        <w:t xml:space="preserve"/>
      </w:r>
    </w:p>
    <w:p>
      <w:pPr>
        <w:pStyle w:val="Heading3"/>
        <w:spacing w:after="100" w:before="240"/>
      </w:pPr>
      <w:r>
        <w:rPr>
          <w:rFonts w:ascii="Calibri" w:cs="Calibri" w:eastAsia="Calibri" w:hAnsi="Calibri"/>
          <w:b/>
          <w:bCs/>
          <w:color w:val="0891B2"/>
          <w:sz w:val="24"/>
          <w:szCs w:val="24"/>
        </w:rPr>
        <w:t xml:space="preserve">LOW-02: Proposal Threshold May Reduce Governance Participation</w:t>
      </w:r>
    </w:p>
    <w:p>
      <w:pPr>
        <w:spacing w:after="120" w:before="40"/>
      </w:pPr>
      <w:r>
        <w:rPr>
          <w:rFonts w:ascii="Calibri" w:cs="Calibri" w:eastAsia="Calibri" w:hAnsi="Calibri"/>
          <w:color w:val="0F172A"/>
          <w:sz w:val="22"/>
          <w:szCs w:val="22"/>
        </w:rPr>
        <w:t xml:space="preserve">Severity: Low  |  Location: GameDAO.sol  |  Parameter: proposalThreshold</w:t>
      </w:r>
    </w:p>
    <w:p>
      <w:pPr>
        <w:spacing w:after="120" w:before="0"/>
      </w:pPr>
      <w:r>
        <w:rPr>
          <w:sz w:val="22"/>
          <w:szCs w:val="22"/>
        </w:rPr>
        <w:t xml:space="preserve"/>
      </w:r>
    </w:p>
    <w:p>
      <w:pPr>
        <w:spacing w:after="120" w:before="40"/>
      </w:pPr>
      <w:r>
        <w:rPr>
          <w:rFonts w:ascii="Calibri" w:cs="Calibri" w:eastAsia="Calibri" w:hAnsi="Calibri"/>
          <w:color w:val="0F172A"/>
          <w:sz w:val="22"/>
          <w:szCs w:val="22"/>
        </w:rPr>
        <w:t xml:space="preserve">Description: The current proposal threshold is set to 1% of total GAME supply (1,000 GAME with initial 100,000 supply). This means only accounts with at least 1,000 GAME (after self-delegation) can create governance proposals. In the testnet environment with limited token distribution, this effectively restricts proposal creation to a small set of wallets. On-chain verification via the Arbiscan Arbiscan contract interface confirms the propose() function accepts a targets array with GameToken address (0x407a5Da64E3fc9FF202b76355d0FC0F34390c41A) as demonstrated in the deployed contract.</w:t>
      </w:r>
    </w:p>
    <w:p>
      <w:pPr>
        <w:spacing w:after="120" w:before="0"/>
      </w:pPr>
      <w:r>
        <w:rPr>
          <w:sz w:val="22"/>
          <w:szCs w:val="22"/>
        </w:rPr>
        <w:t xml:space="preserve"/>
      </w:r>
    </w:p>
    <w:p>
      <w:pPr>
        <w:spacing w:after="120" w:before="40"/>
      </w:pPr>
      <w:r>
        <w:rPr>
          <w:rFonts w:ascii="Calibri" w:cs="Calibri" w:eastAsia="Calibri" w:hAnsi="Calibri"/>
          <w:color w:val="0F172A"/>
          <w:sz w:val="22"/>
          <w:szCs w:val="22"/>
        </w:rPr>
        <w:t xml:space="preserve">This is not a vulnerability but a governance design tradeoff: lower thresholds enable broader participation, higher thresholds prevent spam proposals. The current configuration is standard for educational deployment.</w:t>
      </w:r>
    </w:p>
    <w:p>
      <w:pPr>
        <w:spacing w:after="120" w:before="0"/>
      </w:pPr>
      <w:r>
        <w:rPr>
          <w:sz w:val="22"/>
          <w:szCs w:val="22"/>
        </w:rPr>
        <w:t xml:space="preserve"/>
      </w:r>
    </w:p>
    <w:p>
      <w:pPr>
        <w:pBdr>
          <w:left w:val="thick" w:color="B45309" w:sz="12" w:space="8"/>
        </w:pBdr>
        <w:spacing w:after="100" w:before="100"/>
        <w:ind w:left="360" w:right="360"/>
      </w:pPr>
      <w:r>
        <w:rPr>
          <w:rFonts w:ascii="Calibri" w:cs="Calibri" w:eastAsia="Calibri" w:hAnsi="Calibri"/>
          <w:b/>
          <w:bCs/>
          <w:color w:val="B45309"/>
          <w:sz w:val="22"/>
          <w:szCs w:val="22"/>
        </w:rPr>
        <w:t xml:space="preserve">Status: </w:t>
      </w:r>
      <w:r>
        <w:rPr>
          <w:rFonts w:ascii="Calibri" w:cs="Calibri" w:eastAsia="Calibri" w:hAnsi="Calibri"/>
          <w:color w:val="0F172A"/>
          <w:sz w:val="22"/>
          <w:szCs w:val="22"/>
        </w:rPr>
        <w:t xml:space="preserve">Acknowledged — configurable via governance vote (setProposalThreshold through Timelock)</w:t>
      </w:r>
    </w:p>
    <w:p>
      <w:pPr>
        <w:spacing w:after="120" w:before="0"/>
      </w:pPr>
      <w:r>
        <w:rPr>
          <w:sz w:val="22"/>
          <w:szCs w:val="22"/>
        </w:rPr>
        <w:t xml:space="preserve"/>
      </w:r>
    </w:p>
    <w:p>
      <w:pPr>
        <w:pStyle w:val="Heading3"/>
        <w:spacing w:after="100" w:before="240"/>
      </w:pPr>
      <w:r>
        <w:rPr>
          <w:rFonts w:ascii="Calibri" w:cs="Calibri" w:eastAsia="Calibri" w:hAnsi="Calibri"/>
          <w:b/>
          <w:bCs/>
          <w:color w:val="0891B2"/>
          <w:sz w:val="24"/>
          <w:szCs w:val="24"/>
        </w:rPr>
        <w:t xml:space="preserve">LOW-03: Hardcoded VRF Callback Gas Limit</w:t>
      </w:r>
    </w:p>
    <w:p>
      <w:pPr>
        <w:spacing w:after="120" w:before="40"/>
      </w:pPr>
      <w:r>
        <w:rPr>
          <w:rFonts w:ascii="Calibri" w:cs="Calibri" w:eastAsia="Calibri" w:hAnsi="Calibri"/>
          <w:color w:val="0F172A"/>
          <w:sz w:val="22"/>
          <w:szCs w:val="22"/>
        </w:rPr>
        <w:t xml:space="preserve">Severity: Low  |  Location: LootDrop.sol  |  Constant: CALLBACK_GAS_LIMIT = 200_000</w:t>
      </w:r>
    </w:p>
    <w:p>
      <w:pPr>
        <w:spacing w:after="120" w:before="0"/>
      </w:pPr>
      <w:r>
        <w:rPr>
          <w:sz w:val="22"/>
          <w:szCs w:val="22"/>
        </w:rPr>
        <w:t xml:space="preserve"/>
      </w:r>
    </w:p>
    <w:p>
      <w:pPr>
        <w:spacing w:after="120" w:before="40"/>
      </w:pPr>
      <w:r>
        <w:rPr>
          <w:rFonts w:ascii="Calibri" w:cs="Calibri" w:eastAsia="Calibri" w:hAnsi="Calibri"/>
          <w:color w:val="0F172A"/>
          <w:sz w:val="22"/>
          <w:szCs w:val="22"/>
        </w:rPr>
        <w:t xml:space="preserve">Description: The Chainlink VRF callback gas limit is hardcoded as a constant. The GameItems V2 upgrade introduces an on-chain crafting system that makes the mint() function more gas-intensive. If a future upgrade increases mint() gas consumption beyond 200,000, VRF fulfillments will silently revert inside the coordinator (the VRF coordinator catches the revert and emits a failure event rather than reverting the entire transaction). This would result in loot drop requests being permanently stuck — the randomness is consumed but no item is minted.</w:t>
      </w:r>
    </w:p>
    <w:p>
      <w:pPr>
        <w:spacing w:after="120" w:before="0"/>
      </w:pPr>
      <w:r>
        <w:rPr>
          <w:sz w:val="22"/>
          <w:szCs w:val="22"/>
        </w:rPr>
        <w:t xml:space="preserve"/>
      </w:r>
    </w:p>
    <w:p>
      <w:pPr>
        <w:spacing w:after="120" w:before="40"/>
      </w:pPr>
      <w:r>
        <w:rPr>
          <w:rFonts w:ascii="Calibri" w:cs="Calibri" w:eastAsia="Calibri" w:hAnsi="Calibri"/>
          <w:color w:val="0F172A"/>
          <w:sz w:val="22"/>
          <w:szCs w:val="22"/>
        </w:rPr>
        <w:t xml:space="preserve">Additionally, Slither flagged keyHash and subscriptionId in LootDrop.sol as state variables that could be declared immutable since they are set in the constructor and never modified. While not a security vulnerability, this pattern wastes approximately 2,100 gas per storage read (SLOAD) compared to 3 gas for a code-embedded immutable (CODECOPY).</w:t>
      </w:r>
    </w:p>
    <w:p>
      <w:pPr>
        <w:spacing w:after="120" w:before="0"/>
      </w:pPr>
      <w:r>
        <w:rPr>
          <w:sz w:val="22"/>
          <w:szCs w:val="22"/>
        </w:rPr>
        <w:t xml:space="preserve"/>
      </w:r>
    </w:p>
    <w:p>
      <w:pPr>
        <w:pBdr>
          <w:left w:val="thick" w:color="B45309" w:sz="12" w:space="8"/>
        </w:pBdr>
        <w:spacing w:after="100" w:before="100"/>
        <w:ind w:left="360" w:right="360"/>
      </w:pPr>
      <w:r>
        <w:rPr>
          <w:rFonts w:ascii="Calibri" w:cs="Calibri" w:eastAsia="Calibri" w:hAnsi="Calibri"/>
          <w:b/>
          <w:bCs/>
          <w:color w:val="B45309"/>
          <w:sz w:val="22"/>
          <w:szCs w:val="22"/>
        </w:rPr>
        <w:t xml:space="preserve">Recommendation: </w:t>
      </w:r>
      <w:r>
        <w:rPr>
          <w:rFonts w:ascii="Calibri" w:cs="Calibri" w:eastAsia="Calibri" w:hAnsi="Calibri"/>
          <w:color w:val="0F172A"/>
          <w:sz w:val="22"/>
          <w:szCs w:val="22"/>
        </w:rPr>
        <w:t xml:space="preserve">Make CALLBACK_GAS_LIMIT a mutable parameter with onlyOwner setter. Declare keyHash and subscriptionId as immutable.</w:t>
      </w:r>
    </w:p>
    <w:p>
      <w:pPr>
        <w:spacing w:after="120" w:before="0"/>
      </w:pPr>
      <w:r>
        <w:rPr>
          <w:sz w:val="22"/>
          <w:szCs w:val="22"/>
        </w:rPr>
        <w:t xml:space="preserve"/>
      </w:r>
    </w:p>
    <w:p>
      <w:pPr>
        <w:pBdr>
          <w:left w:val="thick" w:color="B45309" w:sz="12" w:space="8"/>
        </w:pBdr>
        <w:spacing w:after="100" w:before="100"/>
        <w:ind w:left="360" w:right="360"/>
      </w:pPr>
      <w:r>
        <w:rPr>
          <w:rFonts w:ascii="Calibri" w:cs="Calibri" w:eastAsia="Calibri" w:hAnsi="Calibri"/>
          <w:b/>
          <w:bCs/>
          <w:color w:val="B45309"/>
          <w:sz w:val="22"/>
          <w:szCs w:val="22"/>
        </w:rPr>
        <w:t xml:space="preserve">Status: </w:t>
      </w:r>
      <w:r>
        <w:rPr>
          <w:rFonts w:ascii="Calibri" w:cs="Calibri" w:eastAsia="Calibri" w:hAnsi="Calibri"/>
          <w:color w:val="0F172A"/>
          <w:sz w:val="22"/>
          <w:szCs w:val="22"/>
        </w:rPr>
        <w:t xml:space="preserve">Acknowledged — to be refactored for production deployment</w:t>
      </w:r>
    </w:p>
    <w:p>
      <w:pPr>
        <w:spacing w:after="120" w:before="0"/>
      </w:pPr>
      <w:r>
        <w:rPr>
          <w:sz w:val="22"/>
          <w:szCs w:val="22"/>
        </w:rPr>
        <w:t xml:space="preserve"/>
      </w:r>
    </w:p>
    <w:p>
      <w:pPr>
        <w:pStyle w:val="Heading3"/>
        <w:spacing w:after="100" w:before="240"/>
      </w:pPr>
      <w:r>
        <w:rPr>
          <w:rFonts w:ascii="Calibri" w:cs="Calibri" w:eastAsia="Calibri" w:hAnsi="Calibri"/>
          <w:b/>
          <w:bCs/>
          <w:color w:val="0891B2"/>
          <w:sz w:val="24"/>
          <w:szCs w:val="24"/>
        </w:rPr>
        <w:t xml:space="preserve">GAS-01: Repeated Storage Reads in NFTRentalVault</w:t>
      </w:r>
    </w:p>
    <w:p>
      <w:pPr>
        <w:spacing w:after="120" w:before="40"/>
      </w:pPr>
      <w:r>
        <w:rPr>
          <w:rFonts w:ascii="Calibri" w:cs="Calibri" w:eastAsia="Calibri" w:hAnsi="Calibri"/>
          <w:color w:val="0F172A"/>
          <w:sz w:val="22"/>
          <w:szCs w:val="22"/>
        </w:rPr>
        <w:t xml:space="preserve">Severity: Informational  |  Location: NFTRentalVault.sol  |  Function: rentItem()</w:t>
      </w:r>
    </w:p>
    <w:p>
      <w:pPr>
        <w:spacing w:after="120" w:before="0"/>
      </w:pPr>
      <w:r>
        <w:rPr>
          <w:sz w:val="22"/>
          <w:szCs w:val="22"/>
        </w:rPr>
        <w:t xml:space="preserve"/>
      </w:r>
    </w:p>
    <w:p>
      <w:pPr>
        <w:spacing w:after="120" w:before="40"/>
      </w:pPr>
      <w:r>
        <w:rPr>
          <w:rFonts w:ascii="Calibri" w:cs="Calibri" w:eastAsia="Calibri" w:hAnsi="Calibri"/>
          <w:color w:val="0F172A"/>
          <w:sz w:val="22"/>
          <w:szCs w:val="22"/>
        </w:rPr>
        <w:t xml:space="preserve">Description: The platformFee state variable is read from storage (SLOAD, 100 gas cold / 100 gas warm) multiple times within the rentItem() function — once to compute the fee amount and potentially again in event emission. Caching the value in a local variable (uint256 fee = platformFee) at the beginning of the function eliminates the redundant storage reads.</w:t>
      </w:r>
    </w:p>
    <w:p>
      <w:pPr>
        <w:spacing w:after="120" w:before="0"/>
      </w:pPr>
      <w:r>
        <w:rPr>
          <w:sz w:val="22"/>
          <w:szCs w:val="22"/>
        </w:rPr>
        <w:t xml:space="preserve"/>
      </w:r>
    </w:p>
    <w:p>
      <w:pPr>
        <w:pBdr>
          <w:left w:val="thick" w:color="475569" w:sz="12" w:space="8"/>
        </w:pBdr>
        <w:spacing w:after="100" w:before="100"/>
        <w:ind w:left="360" w:right="360"/>
      </w:pPr>
      <w:r>
        <w:rPr>
          <w:rFonts w:ascii="Calibri" w:cs="Calibri" w:eastAsia="Calibri" w:hAnsi="Calibri"/>
          <w:b/>
          <w:bCs/>
          <w:color w:val="475569"/>
          <w:sz w:val="22"/>
          <w:szCs w:val="22"/>
        </w:rPr>
        <w:t xml:space="preserve">Status: </w:t>
      </w:r>
      <w:r>
        <w:rPr>
          <w:rFonts w:ascii="Calibri" w:cs="Calibri" w:eastAsia="Calibri" w:hAnsi="Calibri"/>
          <w:color w:val="0F172A"/>
          <w:sz w:val="22"/>
          <w:szCs w:val="22"/>
        </w:rPr>
        <w:t xml:space="preserve">Acknowledged — minor gas optimization, no security impact</w:t>
      </w:r>
    </w:p>
    <w:p>
      <w:pPr>
        <w:spacing w:after="120" w:before="0"/>
      </w:pPr>
      <w:r>
        <w:rPr>
          <w:sz w:val="22"/>
          <w:szCs w:val="22"/>
        </w:rPr>
        <w:t xml:space="preserve"/>
      </w:r>
    </w:p>
    <w:p>
      <w:pPr>
        <w:pStyle w:val="Heading2"/>
        <w:spacing w:after="140" w:before="320"/>
      </w:pPr>
      <w:r>
        <w:rPr>
          <w:rFonts w:ascii="Calibri" w:cs="Calibri" w:eastAsia="Calibri" w:hAnsi="Calibri"/>
          <w:b/>
          <w:bCs/>
          <w:color w:val="0F172A"/>
          <w:sz w:val="30"/>
          <w:szCs w:val="30"/>
        </w:rPr>
        <w:t xml:space="preserve">4.4 Reentrancy Analysis</w:t>
      </w:r>
    </w:p>
    <w:p>
      <w:pPr>
        <w:spacing w:after="120" w:before="40"/>
      </w:pPr>
      <w:r>
        <w:rPr>
          <w:rFonts w:ascii="Calibri" w:cs="Calibri" w:eastAsia="Calibri" w:hAnsi="Calibri"/>
          <w:color w:val="0F172A"/>
          <w:sz w:val="22"/>
          <w:szCs w:val="22"/>
        </w:rPr>
        <w:t xml:space="preserve">The protocol employs a defense-in-depth approach to reentrancy protection. The security audit identified and documented a potential reentrancy attack flow in the GameItemsV2.craft() function, which was analyzed and remediated:</w:t>
      </w:r>
    </w:p>
    <w:p>
      <w:pPr>
        <w:spacing w:after="120" w:before="0"/>
      </w:pPr>
      <w:r>
        <w:rPr>
          <w:sz w:val="22"/>
          <w:szCs w:val="22"/>
        </w:rPr>
        <w:t xml:space="preserve"/>
      </w:r>
    </w:p>
    <w:p>
      <w:pPr>
        <w:pStyle w:val="Heading3"/>
        <w:spacing w:after="100" w:before="240"/>
      </w:pPr>
      <w:r>
        <w:rPr>
          <w:rFonts w:ascii="Calibri" w:cs="Calibri" w:eastAsia="Calibri" w:hAnsi="Calibri"/>
          <w:b/>
          <w:bCs/>
          <w:color w:val="0891B2"/>
          <w:sz w:val="24"/>
          <w:szCs w:val="24"/>
        </w:rPr>
        <w:t xml:space="preserve">Attack Vector: Craft() Callback Exploitation</w:t>
      </w:r>
    </w:p>
    <w:p>
      <w:pPr>
        <w:spacing w:after="120" w:before="40"/>
      </w:pPr>
      <w:r>
        <w:rPr>
          <w:rFonts w:ascii="Calibri" w:cs="Calibri" w:eastAsia="Calibri" w:hAnsi="Calibri"/>
          <w:color w:val="0F172A"/>
          <w:sz w:val="22"/>
          <w:szCs w:val="22"/>
        </w:rPr>
        <w:t xml:space="preserve">The attack flow diagram from the Security Audit Report demonstrates the following sequence:</w:t>
      </w:r>
    </w:p>
    <w:p>
      <w:pPr>
        <w:spacing w:after="120" w:before="0"/>
      </w:pPr>
      <w:r>
        <w:rPr>
          <w:sz w:val="22"/>
          <w:szCs w:val="22"/>
        </w:rPr>
        <w:t xml:space="preserve"/>
      </w:r>
    </w:p>
    <w:p>
      <w:pPr>
        <w:pStyle w:val="ListParagraph"/>
        <w:numPr>
          <w:ilvl w:val="0"/>
          <w:numId w:val="3"/>
        </w:numPr>
        <w:spacing w:after="60" w:before="30"/>
      </w:pPr>
      <w:r>
        <w:rPr>
          <w:rFonts w:ascii="Calibri" w:cs="Calibri" w:eastAsia="Calibri" w:hAnsi="Calibri"/>
          <w:color w:val="0F172A"/>
          <w:sz w:val="22"/>
          <w:szCs w:val="22"/>
        </w:rPr>
        <w:t xml:space="preserve">Attacker contract calls craft() on GameItemsV2</w:t>
      </w:r>
    </w:p>
    <w:p>
      <w:pPr>
        <w:pStyle w:val="ListParagraph"/>
        <w:numPr>
          <w:ilvl w:val="0"/>
          <w:numId w:val="3"/>
        </w:numPr>
        <w:spacing w:after="60" w:before="30"/>
      </w:pPr>
      <w:r>
        <w:rPr>
          <w:rFonts w:ascii="Calibri" w:cs="Calibri" w:eastAsia="Calibri" w:hAnsi="Calibri"/>
          <w:color w:val="0F172A"/>
          <w:sz w:val="22"/>
          <w:szCs w:val="22"/>
        </w:rPr>
        <w:t xml:space="preserve">craft() checks pass — nonReentrant lock is set</w:t>
      </w:r>
    </w:p>
    <w:p>
      <w:pPr>
        <w:pStyle w:val="ListParagraph"/>
        <w:numPr>
          <w:ilvl w:val="0"/>
          <w:numId w:val="3"/>
        </w:numPr>
        <w:spacing w:after="60" w:before="30"/>
      </w:pPr>
      <w:r>
        <w:rPr>
          <w:rFonts w:ascii="Calibri" w:cs="Calibri" w:eastAsia="Calibri" w:hAnsi="Calibri"/>
          <w:color w:val="0F172A"/>
          <w:sz w:val="22"/>
          <w:szCs w:val="22"/>
        </w:rPr>
        <w:t xml:space="preserve">_burnBatch(inputs) decrements attacker's item balances</w:t>
      </w:r>
    </w:p>
    <w:p>
      <w:pPr>
        <w:pStyle w:val="ListParagraph"/>
        <w:numPr>
          <w:ilvl w:val="0"/>
          <w:numId w:val="3"/>
        </w:numPr>
        <w:spacing w:after="60" w:before="30"/>
      </w:pPr>
      <w:r>
        <w:rPr>
          <w:rFonts w:ascii="Calibri" w:cs="Calibri" w:eastAsia="Calibri" w:hAnsi="Calibri"/>
          <w:color w:val="0F172A"/>
          <w:sz w:val="22"/>
          <w:szCs w:val="22"/>
        </w:rPr>
        <w:t xml:space="preserve">_mint(outputId) writes output balance — state is now committed</w:t>
      </w:r>
    </w:p>
    <w:p>
      <w:pPr>
        <w:pStyle w:val="ListParagraph"/>
        <w:numPr>
          <w:ilvl w:val="0"/>
          <w:numId w:val="3"/>
        </w:numPr>
        <w:spacing w:after="60" w:before="30"/>
      </w:pPr>
      <w:r>
        <w:rPr>
          <w:rFonts w:ascii="Calibri" w:cs="Calibri" w:eastAsia="Calibri" w:hAnsi="Calibri"/>
          <w:color w:val="0F172A"/>
          <w:sz w:val="22"/>
          <w:szCs w:val="22"/>
        </w:rPr>
        <w:t xml:space="preserve">ERC-1155 _mint triggers onERC1155Received() callback on msg.sender (attacker)</w:t>
      </w:r>
    </w:p>
    <w:p>
      <w:pPr>
        <w:pStyle w:val="ListParagraph"/>
        <w:numPr>
          <w:ilvl w:val="0"/>
          <w:numId w:val="3"/>
        </w:numPr>
        <w:spacing w:after="60" w:before="30"/>
      </w:pPr>
      <w:r>
        <w:rPr>
          <w:rFonts w:ascii="Calibri" w:cs="Calibri" w:eastAsia="Calibri" w:hAnsi="Calibri"/>
          <w:color w:val="0F172A"/>
          <w:sz w:val="22"/>
          <w:szCs w:val="22"/>
        </w:rPr>
        <w:t xml:space="preserve">Attacker's callback calls safeTransferFrom() — this is NOT protected by the craft() nonReentrant lock</w:t>
      </w:r>
    </w:p>
    <w:p>
      <w:pPr>
        <w:pStyle w:val="ListParagraph"/>
        <w:numPr>
          <w:ilvl w:val="0"/>
          <w:numId w:val="3"/>
        </w:numPr>
        <w:spacing w:after="60" w:before="30"/>
      </w:pPr>
      <w:r>
        <w:rPr>
          <w:rFonts w:ascii="Calibri" w:cs="Calibri" w:eastAsia="Calibri" w:hAnsi="Calibri"/>
          <w:color w:val="0F172A"/>
          <w:sz w:val="22"/>
          <w:szCs w:val="22"/>
        </w:rPr>
        <w:t xml:space="preserve">craft() resumes — emits ItemCrafted event</w:t>
      </w:r>
    </w:p>
    <w:p>
      <w:pPr>
        <w:spacing w:after="120" w:before="0"/>
      </w:pPr>
      <w:r>
        <w:rPr>
          <w:sz w:val="22"/>
          <w:szCs w:val="22"/>
        </w:rPr>
        <w:t xml:space="preserve"/>
      </w:r>
    </w:p>
    <w:p>
      <w:pPr>
        <w:spacing w:after="120" w:before="40"/>
      </w:pPr>
      <w:r>
        <w:rPr>
          <w:rFonts w:ascii="Calibri" w:cs="Calibri" w:eastAsia="Calibri" w:hAnsi="Calibri"/>
          <w:color w:val="0F172A"/>
          <w:sz w:val="22"/>
          <w:szCs w:val="22"/>
        </w:rPr>
        <w:t xml:space="preserve">Two specific bugs were identified in this flow:</w:t>
      </w:r>
    </w:p>
    <w:p>
      <w:pPr>
        <w:spacing w:after="120" w:before="0"/>
      </w:pPr>
      <w:r>
        <w:rPr>
          <w:sz w:val="22"/>
          <w:szCs w:val="22"/>
        </w:rPr>
        <w:t xml:space="preserve"/>
      </w:r>
    </w:p>
    <w:p>
      <w:pPr>
        <w:pStyle w:val="ListParagraph"/>
        <w:numPr>
          <w:ilvl w:val="0"/>
          <w:numId w:val="2"/>
        </w:numPr>
        <w:spacing w:after="60" w:before="30"/>
      </w:pPr>
      <w:r>
        <w:rPr>
          <w:rFonts w:ascii="Calibri" w:cs="Calibri" w:eastAsia="Calibri" w:hAnsi="Calibri"/>
          <w:color w:val="0F172A"/>
          <w:sz w:val="22"/>
          <w:szCs w:val="22"/>
        </w:rPr>
        <w:t xml:space="preserve">Bug 1: Using the non-upgradeable ReentrancyGuard in a UUPS proxy context causes storage slot collisions with the proxy's storage. The OpenZeppelin ReentrancyGuardUpgradeable must be used instead.</w:t>
      </w:r>
    </w:p>
    <w:p>
      <w:pPr>
        <w:pStyle w:val="ListParagraph"/>
        <w:numPr>
          <w:ilvl w:val="0"/>
          <w:numId w:val="2"/>
        </w:numPr>
        <w:spacing w:after="60" w:before="30"/>
      </w:pPr>
      <w:r>
        <w:rPr>
          <w:rFonts w:ascii="Calibri" w:cs="Calibri" w:eastAsia="Calibri" w:hAnsi="Calibri"/>
          <w:color w:val="0F172A"/>
          <w:sz w:val="22"/>
          <w:szCs w:val="22"/>
        </w:rPr>
        <w:t xml:space="preserve">Bug 2: The nonReentrant modifier only guards craft() itself — inherited ERC-1155 token transfer functions (safeTransferFrom, safeBatchTransferFrom) have no reentrancy lock, allowing cross-function reentrancy via the onERC1155Received callback.</w:t>
      </w:r>
    </w:p>
    <w:p>
      <w:pPr>
        <w:spacing w:after="120" w:before="0"/>
      </w:pPr>
      <w:r>
        <w:rPr>
          <w:sz w:val="22"/>
          <w:szCs w:val="22"/>
        </w:rPr>
        <w:t xml:space="preserve"/>
      </w:r>
    </w:p>
    <w:p>
      <w:pPr>
        <w:pStyle w:val="Heading3"/>
        <w:spacing w:after="100" w:before="240"/>
      </w:pPr>
      <w:r>
        <w:rPr>
          <w:rFonts w:ascii="Calibri" w:cs="Calibri" w:eastAsia="Calibri" w:hAnsi="Calibri"/>
          <w:b/>
          <w:bCs/>
          <w:color w:val="0891B2"/>
          <w:sz w:val="24"/>
          <w:szCs w:val="24"/>
        </w:rPr>
        <w:t xml:space="preserve">Fix Applied</w:t>
      </w:r>
    </w:p>
    <w:p>
      <w:pPr>
        <w:pStyle w:val="ListParagraph"/>
        <w:numPr>
          <w:ilvl w:val="0"/>
          <w:numId w:val="2"/>
        </w:numPr>
        <w:spacing w:after="60" w:before="30"/>
      </w:pPr>
      <w:r>
        <w:rPr>
          <w:rFonts w:ascii="Calibri" w:cs="Calibri" w:eastAsia="Calibri" w:hAnsi="Calibri"/>
          <w:color w:val="0F172A"/>
          <w:sz w:val="22"/>
          <w:szCs w:val="22"/>
        </w:rPr>
        <w:t xml:space="preserve">Use ReentrancyGuardUpgradeable (upgradeable-safe version) in GameItemsV2</w:t>
      </w:r>
    </w:p>
    <w:p>
      <w:pPr>
        <w:pStyle w:val="ListParagraph"/>
        <w:numPr>
          <w:ilvl w:val="0"/>
          <w:numId w:val="2"/>
        </w:numPr>
        <w:spacing w:after="60" w:before="30"/>
      </w:pPr>
      <w:r>
        <w:rPr>
          <w:rFonts w:ascii="Calibri" w:cs="Calibri" w:eastAsia="Calibri" w:hAnsi="Calibri"/>
          <w:color w:val="0F172A"/>
          <w:sz w:val="22"/>
          <w:szCs w:val="22"/>
        </w:rPr>
        <w:t xml:space="preserve">Extend nonReentrant protection to cover safeTransferFrom and safeBatchTransferFrom overrides</w:t>
      </w:r>
    </w:p>
    <w:p>
      <w:pPr>
        <w:pStyle w:val="ListParagraph"/>
        <w:numPr>
          <w:ilvl w:val="0"/>
          <w:numId w:val="2"/>
        </w:numPr>
        <w:spacing w:after="60" w:before="30"/>
      </w:pPr>
      <w:r>
        <w:rPr>
          <w:rFonts w:ascii="Calibri" w:cs="Calibri" w:eastAsia="Calibri" w:hAnsi="Calibri"/>
          <w:color w:val="0F172A"/>
          <w:sz w:val="22"/>
          <w:szCs w:val="22"/>
        </w:rPr>
        <w:t xml:space="preserve">Verify CEI pattern: balances decremented in step 3, mint written in step 4, external interaction (callback) in step 5 — state fully committed before callback fires</w:t>
      </w:r>
    </w:p>
    <w:p>
      <w:pPr>
        <w:spacing w:after="120" w:before="0"/>
      </w:pPr>
      <w:r>
        <w:rPr>
          <w:sz w:val="22"/>
          <w:szCs w:val="22"/>
        </w:rPr>
        <w:t xml:space="preserve"/>
      </w:r>
    </w:p>
    <w:p>
      <w:pPr>
        <w:pBdr>
          <w:left w:val="thick" w:color="15803D" w:sz="12" w:space="8"/>
        </w:pBdr>
        <w:spacing w:after="100" w:before="100"/>
        <w:ind w:left="360" w:right="360"/>
      </w:pPr>
      <w:r>
        <w:rPr>
          <w:rFonts w:ascii="Calibri" w:cs="Calibri" w:eastAsia="Calibri" w:hAnsi="Calibri"/>
          <w:b/>
          <w:bCs/>
          <w:color w:val="15803D"/>
          <w:sz w:val="22"/>
          <w:szCs w:val="22"/>
        </w:rPr>
        <w:t xml:space="preserve">Test Coverage: </w:t>
      </w:r>
      <w:r>
        <w:rPr>
          <w:rFonts w:ascii="Calibri" w:cs="Calibri" w:eastAsia="Calibri" w:hAnsi="Calibri"/>
          <w:color w:val="0F172A"/>
          <w:sz w:val="22"/>
          <w:szCs w:val="22"/>
        </w:rPr>
        <w:t xml:space="preserve">test_reentrancy_blocked: Deploys a ReentrancyAttacker contract and confirms re-entry via onERC1155Received is rejected with ReentrancyGuardReentrantCall</w:t>
      </w:r>
    </w:p>
    <w:p>
      <w:pPr>
        <w:spacing w:after="120" w:before="0"/>
      </w:pPr>
      <w:r>
        <w:rPr>
          <w:sz w:val="22"/>
          <w:szCs w:val="22"/>
        </w:rPr>
        <w:t xml:space="preserve"/>
      </w:r>
    </w:p>
    <w:p>
      <w:pPr>
        <w:pStyle w:val="Heading2"/>
        <w:spacing w:after="140" w:before="320"/>
      </w:pPr>
      <w:r>
        <w:rPr>
          <w:rFonts w:ascii="Calibri" w:cs="Calibri" w:eastAsia="Calibri" w:hAnsi="Calibri"/>
          <w:b/>
          <w:bCs/>
          <w:color w:val="0F172A"/>
          <w:sz w:val="30"/>
          <w:szCs w:val="30"/>
        </w:rPr>
        <w:t xml:space="preserve">4.5 Access Control Analysis</w:t>
      </w:r>
    </w:p>
    <w:p>
      <w:pPr>
        <w:spacing w:after="120" w:before="40"/>
      </w:pPr>
      <w:r>
        <w:rPr>
          <w:rFonts w:ascii="Calibri" w:cs="Calibri" w:eastAsia="Calibri" w:hAnsi="Calibri"/>
          <w:color w:val="0F172A"/>
          <w:sz w:val="22"/>
          <w:szCs w:val="22"/>
        </w:rPr>
        <w:t xml:space="preserve">All administrative functions are protected via OpenZeppelin's Ownable and AccessControl patterns:</w:t>
      </w:r>
    </w:p>
    <w:p>
      <w:pPr>
        <w:spacing w:after="12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160"/>
            <w:gridSpan w:val="1"/>
            <w:tcBorders>
              <w:top w:val="single" w:color="1D4ED8" w:sz="4"/>
              <w:left w:val="single" w:color="1D4ED8" w:sz="4"/>
              <w:bottom w:val="single" w:color="1D4ED8" w:sz="4"/>
              <w:right w:val="single" w:color="1D4ED8" w:sz="4"/>
            </w:tcBorders>
            <w:shd w:fill="1D4ED8" w:val="clear"/>
            <w:tcMar>
              <w:top w:type="dxa" w:w="80"/>
              <w:left w:type="dxa" w:w="120"/>
              <w:bottom w:type="dxa" w:w="80"/>
              <w:right w:type="dxa" w:w="120"/>
            </w:tcMar>
          </w:tcPr>
          <w:p>
            <w:r>
              <w:rPr>
                <w:rFonts w:ascii="Calibri" w:cs="Calibri" w:eastAsia="Calibri" w:hAnsi="Calibri"/>
                <w:b/>
                <w:bCs/>
                <w:color w:val="FFFFFF"/>
                <w:sz w:val="20"/>
                <w:szCs w:val="20"/>
              </w:rPr>
              <w:t xml:space="preserve">Contract</w:t>
            </w:r>
          </w:p>
        </w:tc>
        <w:tc>
          <w:tcPr>
            <w:tcW w:type="dxa" w:w="2520"/>
            <w:gridSpan w:val="1"/>
            <w:tcBorders>
              <w:top w:val="single" w:color="1D4ED8" w:sz="4"/>
              <w:left w:val="single" w:color="1D4ED8" w:sz="4"/>
              <w:bottom w:val="single" w:color="1D4ED8" w:sz="4"/>
              <w:right w:val="single" w:color="1D4ED8" w:sz="4"/>
            </w:tcBorders>
            <w:shd w:fill="1D4ED8" w:val="clear"/>
            <w:tcMar>
              <w:top w:type="dxa" w:w="80"/>
              <w:left w:type="dxa" w:w="120"/>
              <w:bottom w:type="dxa" w:w="80"/>
              <w:right w:type="dxa" w:w="120"/>
            </w:tcMar>
          </w:tcPr>
          <w:p>
            <w:r>
              <w:rPr>
                <w:rFonts w:ascii="Calibri" w:cs="Calibri" w:eastAsia="Calibri" w:hAnsi="Calibri"/>
                <w:b/>
                <w:bCs/>
                <w:color w:val="FFFFFF"/>
                <w:sz w:val="20"/>
                <w:szCs w:val="20"/>
              </w:rPr>
              <w:t xml:space="preserve">Role</w:t>
            </w:r>
          </w:p>
        </w:tc>
        <w:tc>
          <w:tcPr>
            <w:tcW w:type="dxa" w:w="2160"/>
            <w:gridSpan w:val="1"/>
            <w:tcBorders>
              <w:top w:val="single" w:color="1D4ED8" w:sz="4"/>
              <w:left w:val="single" w:color="1D4ED8" w:sz="4"/>
              <w:bottom w:val="single" w:color="1D4ED8" w:sz="4"/>
              <w:right w:val="single" w:color="1D4ED8" w:sz="4"/>
            </w:tcBorders>
            <w:shd w:fill="1D4ED8" w:val="clear"/>
            <w:tcMar>
              <w:top w:type="dxa" w:w="80"/>
              <w:left w:type="dxa" w:w="120"/>
              <w:bottom w:type="dxa" w:w="80"/>
              <w:right w:type="dxa" w:w="120"/>
            </w:tcMar>
          </w:tcPr>
          <w:p>
            <w:r>
              <w:rPr>
                <w:rFonts w:ascii="Calibri" w:cs="Calibri" w:eastAsia="Calibri" w:hAnsi="Calibri"/>
                <w:b/>
                <w:bCs/>
                <w:color w:val="FFFFFF"/>
                <w:sz w:val="20"/>
                <w:szCs w:val="20"/>
              </w:rPr>
              <w:t xml:space="preserve">Holder</w:t>
            </w:r>
          </w:p>
        </w:tc>
        <w:tc>
          <w:tcPr>
            <w:tcW w:type="dxa" w:w="2520"/>
            <w:gridSpan w:val="1"/>
            <w:tcBorders>
              <w:top w:val="single" w:color="1D4ED8" w:sz="4"/>
              <w:left w:val="single" w:color="1D4ED8" w:sz="4"/>
              <w:bottom w:val="single" w:color="1D4ED8" w:sz="4"/>
              <w:right w:val="single" w:color="1D4ED8" w:sz="4"/>
            </w:tcBorders>
            <w:shd w:fill="1D4ED8" w:val="clear"/>
            <w:tcMar>
              <w:top w:type="dxa" w:w="80"/>
              <w:left w:type="dxa" w:w="120"/>
              <w:bottom w:type="dxa" w:w="80"/>
              <w:right w:type="dxa" w:w="120"/>
            </w:tcMar>
          </w:tcPr>
          <w:p>
            <w:r>
              <w:rPr>
                <w:rFonts w:ascii="Calibri" w:cs="Calibri" w:eastAsia="Calibri" w:hAnsi="Calibri"/>
                <w:b/>
                <w:bCs/>
                <w:color w:val="FFFFFF"/>
                <w:sz w:val="20"/>
                <w:szCs w:val="20"/>
              </w:rPr>
              <w:t xml:space="preserve">Capabilities</w:t>
            </w:r>
          </w:p>
        </w:tc>
      </w:tr>
      <w:tr>
        <w:tc>
          <w:tcPr>
            <w:tcW w:type="dxa" w:w="216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bCs/>
                <w:color w:val="0F172A"/>
                <w:sz w:val="19"/>
                <w:szCs w:val="19"/>
              </w:rPr>
              <w:t xml:space="preserve">GameItems</w:t>
            </w:r>
          </w:p>
        </w:tc>
        <w:tc>
          <w:tcPr>
            <w:tcW w:type="dxa" w:w="252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DEFAULT_ADMIN_ROLE</w:t>
            </w:r>
          </w:p>
        </w:tc>
        <w:tc>
          <w:tcPr>
            <w:tcW w:type="dxa" w:w="216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Timelock</w:t>
            </w:r>
          </w:p>
        </w:tc>
        <w:tc>
          <w:tcPr>
            <w:tcW w:type="dxa" w:w="252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Grant/revoke all roles</w:t>
            </w:r>
          </w:p>
        </w:tc>
      </w:tr>
      <w:tr>
        <w:tc>
          <w:tcPr>
            <w:tcW w:type="dxa" w:w="216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bCs/>
                <w:color w:val="0F172A"/>
                <w:sz w:val="19"/>
                <w:szCs w:val="19"/>
              </w:rPr>
              <w:t xml:space="preserve">GameItems</w:t>
            </w:r>
          </w:p>
        </w:tc>
        <w:tc>
          <w:tcPr>
            <w:tcW w:type="dxa" w:w="252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MINTER_ROLE</w:t>
            </w:r>
          </w:p>
        </w:tc>
        <w:tc>
          <w:tcPr>
            <w:tcW w:type="dxa" w:w="216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LootDrop + Timelock</w:t>
            </w:r>
          </w:p>
        </w:tc>
        <w:tc>
          <w:tcPr>
            <w:tcW w:type="dxa" w:w="252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Mint new items</w:t>
            </w:r>
          </w:p>
        </w:tc>
      </w:tr>
      <w:tr>
        <w:tc>
          <w:tcPr>
            <w:tcW w:type="dxa" w:w="216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bCs/>
                <w:color w:val="0F172A"/>
                <w:sz w:val="19"/>
                <w:szCs w:val="19"/>
              </w:rPr>
              <w:t xml:space="preserve">GameItems</w:t>
            </w:r>
          </w:p>
        </w:tc>
        <w:tc>
          <w:tcPr>
            <w:tcW w:type="dxa" w:w="252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UPGRADER_ROLE</w:t>
            </w:r>
          </w:p>
        </w:tc>
        <w:tc>
          <w:tcPr>
            <w:tcW w:type="dxa" w:w="216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Timelock</w:t>
            </w:r>
          </w:p>
        </w:tc>
        <w:tc>
          <w:tcPr>
            <w:tcW w:type="dxa" w:w="252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Upgrade implementation</w:t>
            </w:r>
          </w:p>
        </w:tc>
      </w:tr>
      <w:tr>
        <w:tc>
          <w:tcPr>
            <w:tcW w:type="dxa" w:w="216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bCs/>
                <w:color w:val="0F172A"/>
                <w:sz w:val="19"/>
                <w:szCs w:val="19"/>
              </w:rPr>
              <w:t xml:space="preserve">GameToken</w:t>
            </w:r>
          </w:p>
        </w:tc>
        <w:tc>
          <w:tcPr>
            <w:tcW w:type="dxa" w:w="252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owner()</w:t>
            </w:r>
          </w:p>
        </w:tc>
        <w:tc>
          <w:tcPr>
            <w:tcW w:type="dxa" w:w="216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Timelock</w:t>
            </w:r>
          </w:p>
        </w:tc>
        <w:tc>
          <w:tcPr>
            <w:tcW w:type="dxa" w:w="252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Mint GAME tokens</w:t>
            </w:r>
          </w:p>
        </w:tc>
      </w:tr>
      <w:tr>
        <w:tc>
          <w:tcPr>
            <w:tcW w:type="dxa" w:w="216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bCs/>
                <w:color w:val="0F172A"/>
                <w:sz w:val="19"/>
                <w:szCs w:val="19"/>
              </w:rPr>
              <w:t xml:space="preserve">GameVault</w:t>
            </w:r>
          </w:p>
        </w:tc>
        <w:tc>
          <w:tcPr>
            <w:tcW w:type="dxa" w:w="252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owner()</w:t>
            </w:r>
          </w:p>
        </w:tc>
        <w:tc>
          <w:tcPr>
            <w:tcW w:type="dxa" w:w="216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Timelock</w:t>
            </w:r>
          </w:p>
        </w:tc>
        <w:tc>
          <w:tcPr>
            <w:tcW w:type="dxa" w:w="252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Admin config</w:t>
            </w:r>
          </w:p>
        </w:tc>
      </w:tr>
      <w:tr>
        <w:tc>
          <w:tcPr>
            <w:tcW w:type="dxa" w:w="216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bCs/>
                <w:color w:val="0F172A"/>
                <w:sz w:val="19"/>
                <w:szCs w:val="19"/>
              </w:rPr>
              <w:t xml:space="preserve">NFTRentalVault</w:t>
            </w:r>
          </w:p>
        </w:tc>
        <w:tc>
          <w:tcPr>
            <w:tcW w:type="dxa" w:w="252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owner()</w:t>
            </w:r>
          </w:p>
        </w:tc>
        <w:tc>
          <w:tcPr>
            <w:tcW w:type="dxa" w:w="216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Timelock</w:t>
            </w:r>
          </w:p>
        </w:tc>
        <w:tc>
          <w:tcPr>
            <w:tcW w:type="dxa" w:w="252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Set platform fee</w:t>
            </w:r>
          </w:p>
        </w:tc>
      </w:tr>
      <w:tr>
        <w:tc>
          <w:tcPr>
            <w:tcW w:type="dxa" w:w="216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bCs/>
                <w:color w:val="0F172A"/>
                <w:sz w:val="19"/>
                <w:szCs w:val="19"/>
              </w:rPr>
              <w:t xml:space="preserve">GameFactory</w:t>
            </w:r>
          </w:p>
        </w:tc>
        <w:tc>
          <w:tcPr>
            <w:tcW w:type="dxa" w:w="252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owner()</w:t>
            </w:r>
          </w:p>
        </w:tc>
        <w:tc>
          <w:tcPr>
            <w:tcW w:type="dxa" w:w="216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Deployer</w:t>
            </w:r>
          </w:p>
        </w:tc>
        <w:tc>
          <w:tcPr>
            <w:tcW w:type="dxa" w:w="252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Deploy instances</w:t>
            </w:r>
          </w:p>
        </w:tc>
      </w:tr>
    </w:tbl>
    <w:p>
      <w:pPr>
        <w:spacing w:after="120" w:before="0"/>
      </w:pPr>
      <w:r>
        <w:rPr>
          <w:sz w:val="22"/>
          <w:szCs w:val="22"/>
        </w:rPr>
        <w:t xml:space="preserve"/>
      </w:r>
    </w:p>
    <w:p>
      <w:pPr>
        <w:pStyle w:val="Heading2"/>
        <w:spacing w:after="140" w:before="320"/>
      </w:pPr>
      <w:r>
        <w:rPr>
          <w:rFonts w:ascii="Calibri" w:cs="Calibri" w:eastAsia="Calibri" w:hAnsi="Calibri"/>
          <w:b/>
          <w:bCs/>
          <w:color w:val="0F172A"/>
          <w:sz w:val="30"/>
          <w:szCs w:val="30"/>
        </w:rPr>
        <w:t xml:space="preserve">4.6 Oracle Security Analysis</w:t>
      </w:r>
    </w:p>
    <w:p>
      <w:pPr>
        <w:spacing w:after="120" w:before="40"/>
      </w:pPr>
      <w:r>
        <w:rPr>
          <w:rFonts w:ascii="Calibri" w:cs="Calibri" w:eastAsia="Calibri" w:hAnsi="Calibri"/>
          <w:color w:val="0F172A"/>
          <w:sz w:val="22"/>
          <w:szCs w:val="22"/>
        </w:rPr>
        <w:t xml:space="preserve">GameVault's Chainlink integration implements comprehensive staleness protection. The latestPrice() function reverts if:</w:t>
      </w:r>
    </w:p>
    <w:p>
      <w:pPr>
        <w:spacing w:after="120" w:before="0"/>
      </w:pPr>
      <w:r>
        <w:rPr>
          <w:sz w:val="22"/>
          <w:szCs w:val="22"/>
        </w:rPr>
        <w:t xml:space="preserve"/>
      </w:r>
    </w:p>
    <w:p>
      <w:pPr>
        <w:pStyle w:val="ListParagraph"/>
        <w:numPr>
          <w:ilvl w:val="0"/>
          <w:numId w:val="2"/>
        </w:numPr>
        <w:spacing w:after="60" w:before="30"/>
      </w:pPr>
      <w:r>
        <w:rPr>
          <w:rFonts w:ascii="Calibri" w:cs="Calibri" w:eastAsia="Calibri" w:hAnsi="Calibri"/>
          <w:color w:val="0F172A"/>
          <w:sz w:val="22"/>
          <w:szCs w:val="22"/>
        </w:rPr>
        <w:t xml:space="preserve">block.timestamp - updatedAt &gt; stalenessThreshold (default 3600 seconds) — stale price protection</w:t>
      </w:r>
    </w:p>
    <w:p>
      <w:pPr>
        <w:pStyle w:val="ListParagraph"/>
        <w:numPr>
          <w:ilvl w:val="0"/>
          <w:numId w:val="2"/>
        </w:numPr>
        <w:spacing w:after="60" w:before="30"/>
      </w:pPr>
      <w:r>
        <w:rPr>
          <w:rFonts w:ascii="Calibri" w:cs="Calibri" w:eastAsia="Calibri" w:hAnsi="Calibri"/>
          <w:color w:val="0F172A"/>
          <w:sz w:val="22"/>
          <w:szCs w:val="22"/>
        </w:rPr>
        <w:t xml:space="preserve">answer &lt;= 0 — invalid price protection (negative or zero oracle answer rejected)</w:t>
      </w:r>
    </w:p>
    <w:p>
      <w:pPr>
        <w:spacing w:after="120" w:before="0"/>
      </w:pPr>
      <w:r>
        <w:rPr>
          <w:sz w:val="22"/>
          <w:szCs w:val="22"/>
        </w:rPr>
        <w:t xml:space="preserve"/>
      </w:r>
    </w:p>
    <w:p>
      <w:pPr>
        <w:spacing w:after="120" w:before="40"/>
      </w:pPr>
      <w:r>
        <w:rPr>
          <w:rFonts w:ascii="Calibri" w:cs="Calibri" w:eastAsia="Calibri" w:hAnsi="Calibri"/>
          <w:color w:val="0F172A"/>
          <w:sz w:val="22"/>
          <w:szCs w:val="22"/>
        </w:rPr>
        <w:t xml:space="preserve">The AMM (GameAMM) does NOT use Chainlink for swap pricing. All swap output calculations use pool reserve ratios exclusively, making the AMM immune to oracle price manipulation. Users provide minAmountOut as slippage protection, guarding against sandwich attacks and front-running.</w:t>
      </w:r>
    </w:p>
    <w:p>
      <w:pPr>
        <w:spacing w:after="120" w:before="0"/>
      </w:pPr>
      <w:r>
        <w:rPr>
          <w:sz w:val="22"/>
          <w:szCs w:val="22"/>
        </w:rPr>
        <w:t xml:space="preserve"/>
      </w:r>
    </w:p>
    <w:p>
      <w:pPr>
        <w:pStyle w:val="Heading2"/>
        <w:spacing w:after="140" w:before="320"/>
      </w:pPr>
      <w:r>
        <w:rPr>
          <w:rFonts w:ascii="Calibri" w:cs="Calibri" w:eastAsia="Calibri" w:hAnsi="Calibri"/>
          <w:b/>
          <w:bCs/>
          <w:color w:val="0F172A"/>
          <w:sz w:val="30"/>
          <w:szCs w:val="30"/>
        </w:rPr>
        <w:t xml:space="preserve">4.7 Governance Attack Resilience</w:t>
      </w:r>
    </w:p>
    <w:p>
      <w:pPr>
        <w:pStyle w:val="Heading3"/>
        <w:spacing w:after="100" w:before="240"/>
      </w:pPr>
      <w:r>
        <w:rPr>
          <w:rFonts w:ascii="Calibri" w:cs="Calibri" w:eastAsia="Calibri" w:hAnsi="Calibri"/>
          <w:b/>
          <w:bCs/>
          <w:color w:val="0891B2"/>
          <w:sz w:val="24"/>
          <w:szCs w:val="24"/>
        </w:rPr>
        <w:t xml:space="preserve">Flash-Loan Attack Prevention</w:t>
      </w:r>
    </w:p>
    <w:p>
      <w:pPr>
        <w:spacing w:after="120" w:before="40"/>
      </w:pPr>
      <w:r>
        <w:rPr>
          <w:rFonts w:ascii="Calibri" w:cs="Calibri" w:eastAsia="Calibri" w:hAnsi="Calibri"/>
          <w:color w:val="0F172A"/>
          <w:sz w:val="22"/>
          <w:szCs w:val="22"/>
        </w:rPr>
        <w:t xml:space="preserve">ERC20Votes records historical voting checkpoints at each block timestamp. Governance voting power is computed from the checkpoint at the proposal's snapshot timestamp, not from the current balance. An attacker who flash-borrows GAME tokens after proposal creation has zero power on that proposal — the checkpoint at snapshot time is zero. The 1-day voting delay provides additional protection by ensuring snapshots are taken well before voting begins.</w:t>
      </w:r>
    </w:p>
    <w:p>
      <w:pPr>
        <w:spacing w:after="120" w:before="0"/>
      </w:pPr>
      <w:r>
        <w:rPr>
          <w:sz w:val="22"/>
          <w:szCs w:val="22"/>
        </w:rPr>
        <w:t xml:space="preserve"/>
      </w:r>
    </w:p>
    <w:p>
      <w:pPr>
        <w:pStyle w:val="Heading3"/>
        <w:spacing w:after="100" w:before="240"/>
      </w:pPr>
      <w:r>
        <w:rPr>
          <w:rFonts w:ascii="Calibri" w:cs="Calibri" w:eastAsia="Calibri" w:hAnsi="Calibri"/>
          <w:b/>
          <w:bCs/>
          <w:color w:val="0891B2"/>
          <w:sz w:val="24"/>
          <w:szCs w:val="24"/>
        </w:rPr>
        <w:t xml:space="preserve">Timelock Bypass Analysis</w:t>
      </w:r>
    </w:p>
    <w:p>
      <w:pPr>
        <w:spacing w:after="120" w:before="40"/>
      </w:pPr>
      <w:r>
        <w:rPr>
          <w:rFonts w:ascii="Calibri" w:cs="Calibri" w:eastAsia="Calibri" w:hAnsi="Calibri"/>
          <w:color w:val="0F172A"/>
          <w:sz w:val="22"/>
          <w:szCs w:val="22"/>
        </w:rPr>
        <w:t xml:space="preserve">All privileged actions route through TimelockController with a 2-day execution delay. The TimelockController is the DEFAULT_ADMIN_ROLE holder on GameItems and the owner() of all other contracts. No bypass pathway exists once ownership is transferred. Community members have 48 hours to observe and react to any queued governance action.</w:t>
      </w:r>
    </w:p>
    <w:p>
      <w:pPr>
        <w:spacing w:after="120" w:before="0"/>
      </w:pPr>
      <w:r>
        <w:rPr>
          <w:sz w:val="22"/>
          <w:szCs w:val="22"/>
        </w:rPr>
        <w:t xml:space="preserve"/>
      </w:r>
    </w:p>
    <w:p>
      <w:pPr>
        <w:pStyle w:val="Heading2"/>
        <w:spacing w:after="140" w:before="320"/>
      </w:pPr>
      <w:r>
        <w:rPr>
          <w:rFonts w:ascii="Calibri" w:cs="Calibri" w:eastAsia="Calibri" w:hAnsi="Calibri"/>
          <w:b/>
          <w:bCs/>
          <w:color w:val="0F172A"/>
          <w:sz w:val="30"/>
          <w:szCs w:val="30"/>
        </w:rPr>
        <w:t xml:space="preserve">4.8 Slither Analysis Summary</w:t>
      </w:r>
    </w:p>
    <w:p>
      <w:pPr>
        <w:spacing w:after="120" w:before="40"/>
      </w:pPr>
      <w:r>
        <w:rPr>
          <w:rFonts w:ascii="Calibri" w:cs="Calibri" w:eastAsia="Calibri" w:hAnsi="Calibri"/>
          <w:color w:val="0F172A"/>
          <w:sz w:val="22"/>
          <w:szCs w:val="22"/>
        </w:rPr>
        <w:t xml:space="preserve">Slither was run with slither . --foundry-compile-all covering all src/ contracts. Production source code results:</w:t>
      </w:r>
    </w:p>
    <w:p>
      <w:pPr>
        <w:spacing w:after="120" w:before="0"/>
      </w:pPr>
      <w:r>
        <w:rPr>
          <w:sz w:val="22"/>
          <w:szCs w:val="22"/>
        </w:rPr>
        <w:t xml:space="preserve"/>
      </w:r>
    </w:p>
    <w:p>
      <w:pPr>
        <w:pStyle w:val="ListParagraph"/>
        <w:numPr>
          <w:ilvl w:val="0"/>
          <w:numId w:val="2"/>
        </w:numPr>
        <w:spacing w:after="60" w:before="30"/>
      </w:pPr>
      <w:r>
        <w:rPr>
          <w:rFonts w:ascii="Calibri" w:cs="Calibri" w:eastAsia="Calibri" w:hAnsi="Calibri"/>
          <w:color w:val="0F172A"/>
          <w:sz w:val="22"/>
          <w:szCs w:val="22"/>
        </w:rPr>
        <w:t xml:space="preserve">HIGH severity — 0 findings in production contracts</w:t>
      </w:r>
    </w:p>
    <w:p>
      <w:pPr>
        <w:pStyle w:val="ListParagraph"/>
        <w:numPr>
          <w:ilvl w:val="0"/>
          <w:numId w:val="2"/>
        </w:numPr>
        <w:spacing w:after="60" w:before="30"/>
      </w:pPr>
      <w:r>
        <w:rPr>
          <w:rFonts w:ascii="Calibri" w:cs="Calibri" w:eastAsia="Calibri" w:hAnsi="Calibri"/>
          <w:color w:val="0F172A"/>
          <w:sz w:val="22"/>
          <w:szCs w:val="22"/>
        </w:rPr>
        <w:t xml:space="preserve">MEDIUM severity — 0 findings in production contracts</w:t>
      </w:r>
    </w:p>
    <w:p>
      <w:pPr>
        <w:pStyle w:val="ListParagraph"/>
        <w:numPr>
          <w:ilvl w:val="0"/>
          <w:numId w:val="2"/>
        </w:numPr>
        <w:spacing w:after="60" w:before="30"/>
      </w:pPr>
      <w:r>
        <w:rPr>
          <w:rFonts w:ascii="Calibri" w:cs="Calibri" w:eastAsia="Calibri" w:hAnsi="Calibri"/>
          <w:color w:val="0F172A"/>
          <w:sz w:val="22"/>
          <w:szCs w:val="22"/>
        </w:rPr>
        <w:t xml:space="preserve">LOW severity (src/) — 0 findings (only library code flagged)</w:t>
      </w:r>
    </w:p>
    <w:p>
      <w:pPr>
        <w:pStyle w:val="ListParagraph"/>
        <w:numPr>
          <w:ilvl w:val="0"/>
          <w:numId w:val="2"/>
        </w:numPr>
        <w:spacing w:after="60" w:before="30"/>
      </w:pPr>
      <w:r>
        <w:rPr>
          <w:rFonts w:ascii="Calibri" w:cs="Calibri" w:eastAsia="Calibri" w:hAnsi="Calibri"/>
          <w:color w:val="0F172A"/>
          <w:sz w:val="22"/>
          <w:szCs w:val="22"/>
        </w:rPr>
        <w:t xml:space="preserve">Informational — LootDrop.keyHash and subscriptionId could be immutable (gas optimization acknowledged)</w:t>
      </w:r>
    </w:p>
    <w:p>
      <w:pPr>
        <w:pStyle w:val="ListParagraph"/>
        <w:numPr>
          <w:ilvl w:val="0"/>
          <w:numId w:val="2"/>
        </w:numPr>
        <w:spacing w:after="60" w:before="30"/>
      </w:pPr>
      <w:r>
        <w:rPr>
          <w:rFonts w:ascii="Calibri" w:cs="Calibri" w:eastAsia="Calibri" w:hAnsi="Calibri"/>
          <w:color w:val="0F172A"/>
          <w:sz w:val="22"/>
          <w:szCs w:val="22"/>
        </w:rPr>
        <w:t xml:space="preserve">All other flags traced to OpenZeppelin library code (Governor.sol, TimelockController.sol, Math.sol) — triaged and accepted</w:t>
      </w:r>
    </w:p>
    <w:p>
      <w:pPr>
        <w:spacing w:after="120" w:before="0"/>
      </w:pPr>
      <w:r>
        <w:rPr>
          <w:sz w:val="22"/>
          <w:szCs w:val="22"/>
        </w:rPr>
        <w:t xml:space="preserve"/>
      </w:r>
    </w:p>
    <w:p>
      <w:r>
        <w:br w:type="page"/>
      </w:r>
    </w:p>
    <w:p>
      <w:pPr>
        <w:pStyle w:val="Heading1"/>
        <w:pBdr>
          <w:bottom w:val="single" w:color="1D4ED8" w:sz="4" w:space="6"/>
        </w:pBdr>
        <w:spacing w:after="200" w:before="480"/>
      </w:pPr>
      <w:r>
        <w:rPr>
          <w:rFonts w:ascii="Calibri" w:cs="Calibri" w:eastAsia="Calibri" w:hAnsi="Calibri"/>
          <w:b/>
          <w:bCs/>
          <w:color w:val="1D4ED8"/>
          <w:sz w:val="40"/>
          <w:szCs w:val="40"/>
        </w:rPr>
        <w:t xml:space="preserve">5. Testing &amp; Validation</w:t>
      </w:r>
    </w:p>
    <w:p>
      <w:pPr>
        <w:pStyle w:val="Heading2"/>
        <w:spacing w:after="140" w:before="320"/>
      </w:pPr>
      <w:r>
        <w:rPr>
          <w:rFonts w:ascii="Calibri" w:cs="Calibri" w:eastAsia="Calibri" w:hAnsi="Calibri"/>
          <w:b/>
          <w:bCs/>
          <w:color w:val="0F172A"/>
          <w:sz w:val="30"/>
          <w:szCs w:val="30"/>
        </w:rPr>
        <w:t xml:space="preserve">5.1 Test Suite Overview</w:t>
      </w:r>
    </w:p>
    <w:p>
      <w:pPr>
        <w:spacing w:after="120" w:before="40"/>
      </w:pPr>
      <w:r>
        <w:rPr>
          <w:rFonts w:ascii="Calibri" w:cs="Calibri" w:eastAsia="Calibri" w:hAnsi="Calibri"/>
          <w:color w:val="0F172A"/>
          <w:sz w:val="22"/>
          <w:szCs w:val="22"/>
        </w:rPr>
        <w:t xml:space="preserve">The project delivers a comprehensive test suite of 133 tests across four categories, all passing with zero failures. Tests are implemented in Foundry (Forge) using Solidity 0.8.20.</w:t>
      </w:r>
    </w:p>
    <w:p>
      <w:pPr>
        <w:spacing w:after="12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980"/>
            <w:gridSpan w:val="1"/>
            <w:tcBorders>
              <w:top w:val="single" w:color="1D4ED8" w:sz="4"/>
              <w:left w:val="single" w:color="1D4ED8" w:sz="4"/>
              <w:bottom w:val="single" w:color="1D4ED8" w:sz="4"/>
              <w:right w:val="single" w:color="1D4ED8" w:sz="4"/>
            </w:tcBorders>
            <w:shd w:fill="1D4ED8" w:val="clear"/>
            <w:tcMar>
              <w:top w:type="dxa" w:w="80"/>
              <w:left w:type="dxa" w:w="120"/>
              <w:bottom w:type="dxa" w:w="80"/>
              <w:right w:type="dxa" w:w="120"/>
            </w:tcMar>
          </w:tcPr>
          <w:p>
            <w:r>
              <w:rPr>
                <w:rFonts w:ascii="Calibri" w:cs="Calibri" w:eastAsia="Calibri" w:hAnsi="Calibri"/>
                <w:b/>
                <w:bCs/>
                <w:color w:val="FFFFFF"/>
                <w:sz w:val="20"/>
                <w:szCs w:val="20"/>
              </w:rPr>
              <w:t xml:space="preserve">Category</w:t>
            </w:r>
          </w:p>
        </w:tc>
        <w:tc>
          <w:tcPr>
            <w:tcW w:type="dxa" w:w="1440"/>
            <w:gridSpan w:val="1"/>
            <w:tcBorders>
              <w:top w:val="single" w:color="1D4ED8" w:sz="4"/>
              <w:left w:val="single" w:color="1D4ED8" w:sz="4"/>
              <w:bottom w:val="single" w:color="1D4ED8" w:sz="4"/>
              <w:right w:val="single" w:color="1D4ED8" w:sz="4"/>
            </w:tcBorders>
            <w:shd w:fill="1D4ED8" w:val="clear"/>
            <w:tcMar>
              <w:top w:type="dxa" w:w="80"/>
              <w:left w:type="dxa" w:w="120"/>
              <w:bottom w:type="dxa" w:w="80"/>
              <w:right w:type="dxa" w:w="120"/>
            </w:tcMar>
          </w:tcPr>
          <w:p>
            <w:r>
              <w:rPr>
                <w:rFonts w:ascii="Calibri" w:cs="Calibri" w:eastAsia="Calibri" w:hAnsi="Calibri"/>
                <w:b/>
                <w:bCs/>
                <w:color w:val="FFFFFF"/>
                <w:sz w:val="20"/>
                <w:szCs w:val="20"/>
              </w:rPr>
              <w:t xml:space="preserve">Count</w:t>
            </w:r>
          </w:p>
        </w:tc>
        <w:tc>
          <w:tcPr>
            <w:tcW w:type="dxa" w:w="1980"/>
            <w:gridSpan w:val="1"/>
            <w:tcBorders>
              <w:top w:val="single" w:color="1D4ED8" w:sz="4"/>
              <w:left w:val="single" w:color="1D4ED8" w:sz="4"/>
              <w:bottom w:val="single" w:color="1D4ED8" w:sz="4"/>
              <w:right w:val="single" w:color="1D4ED8" w:sz="4"/>
            </w:tcBorders>
            <w:shd w:fill="1D4ED8" w:val="clear"/>
            <w:tcMar>
              <w:top w:type="dxa" w:w="80"/>
              <w:left w:type="dxa" w:w="120"/>
              <w:bottom w:type="dxa" w:w="80"/>
              <w:right w:type="dxa" w:w="120"/>
            </w:tcMar>
          </w:tcPr>
          <w:p>
            <w:r>
              <w:rPr>
                <w:rFonts w:ascii="Calibri" w:cs="Calibri" w:eastAsia="Calibri" w:hAnsi="Calibri"/>
                <w:b/>
                <w:bCs/>
                <w:color w:val="FFFFFF"/>
                <w:sz w:val="20"/>
                <w:szCs w:val="20"/>
              </w:rPr>
              <w:t xml:space="preserve">Requirement</w:t>
            </w:r>
          </w:p>
        </w:tc>
        <w:tc>
          <w:tcPr>
            <w:tcW w:type="dxa" w:w="3960"/>
            <w:gridSpan w:val="1"/>
            <w:tcBorders>
              <w:top w:val="single" w:color="1D4ED8" w:sz="4"/>
              <w:left w:val="single" w:color="1D4ED8" w:sz="4"/>
              <w:bottom w:val="single" w:color="1D4ED8" w:sz="4"/>
              <w:right w:val="single" w:color="1D4ED8" w:sz="4"/>
            </w:tcBorders>
            <w:shd w:fill="1D4ED8" w:val="clear"/>
            <w:tcMar>
              <w:top w:type="dxa" w:w="80"/>
              <w:left w:type="dxa" w:w="120"/>
              <w:bottom w:type="dxa" w:w="80"/>
              <w:right w:type="dxa" w:w="120"/>
            </w:tcMar>
          </w:tcPr>
          <w:p>
            <w:r>
              <w:rPr>
                <w:rFonts w:ascii="Calibri" w:cs="Calibri" w:eastAsia="Calibri" w:hAnsi="Calibri"/>
                <w:b/>
                <w:bCs/>
                <w:color w:val="FFFFFF"/>
                <w:sz w:val="20"/>
                <w:szCs w:val="20"/>
              </w:rPr>
              <w:t xml:space="preserve">Configuration</w:t>
            </w:r>
          </w:p>
        </w:tc>
      </w:tr>
      <w:tr>
        <w:tc>
          <w:tcPr>
            <w:tcW w:type="dxa" w:w="198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bCs/>
                <w:color w:val="1D4ED8"/>
                <w:sz w:val="19"/>
                <w:szCs w:val="19"/>
              </w:rPr>
              <w:t xml:space="preserve">Unit Tests</w:t>
            </w:r>
          </w:p>
        </w:tc>
        <w:tc>
          <w:tcPr>
            <w:tcW w:type="dxa" w:w="144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bCs/>
                <w:color w:val="0F172A"/>
                <w:sz w:val="19"/>
                <w:szCs w:val="19"/>
              </w:rPr>
              <w:t xml:space="preserve">110+</w:t>
            </w:r>
          </w:p>
        </w:tc>
        <w:tc>
          <w:tcPr>
            <w:tcW w:type="dxa" w:w="198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 50</w:t>
            </w:r>
          </w:p>
        </w:tc>
        <w:tc>
          <w:tcPr>
            <w:tcW w:type="dxa" w:w="396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Standard forge test — individual function testing</w:t>
            </w:r>
          </w:p>
        </w:tc>
      </w:tr>
      <w:tr>
        <w:tc>
          <w:tcPr>
            <w:tcW w:type="dxa" w:w="198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bCs/>
                <w:color w:val="0891B2"/>
                <w:sz w:val="19"/>
                <w:szCs w:val="19"/>
              </w:rPr>
              <w:t xml:space="preserve">Fuzz Tests</w:t>
            </w:r>
          </w:p>
        </w:tc>
        <w:tc>
          <w:tcPr>
            <w:tcW w:type="dxa" w:w="144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bCs/>
                <w:color w:val="0F172A"/>
                <w:sz w:val="19"/>
                <w:szCs w:val="19"/>
              </w:rPr>
              <w:t xml:space="preserve">16</w:t>
            </w:r>
          </w:p>
        </w:tc>
        <w:tc>
          <w:tcPr>
            <w:tcW w:type="dxa" w:w="198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 10</w:t>
            </w:r>
          </w:p>
        </w:tc>
        <w:tc>
          <w:tcPr>
            <w:tcW w:type="dxa" w:w="396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256 random runs per test (fuzz_runs = 256)</w:t>
            </w:r>
          </w:p>
        </w:tc>
      </w:tr>
      <w:tr>
        <w:tc>
          <w:tcPr>
            <w:tcW w:type="dxa" w:w="198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bCs/>
                <w:color w:val="7C3AED"/>
                <w:sz w:val="19"/>
                <w:szCs w:val="19"/>
              </w:rPr>
              <w:t xml:space="preserve">Invariant Tests</w:t>
            </w:r>
          </w:p>
        </w:tc>
        <w:tc>
          <w:tcPr>
            <w:tcW w:type="dxa" w:w="144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bCs/>
                <w:color w:val="0F172A"/>
                <w:sz w:val="19"/>
                <w:szCs w:val="19"/>
              </w:rPr>
              <w:t xml:space="preserve">5</w:t>
            </w:r>
          </w:p>
        </w:tc>
        <w:tc>
          <w:tcPr>
            <w:tcW w:type="dxa" w:w="198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 5</w:t>
            </w:r>
          </w:p>
        </w:tc>
        <w:tc>
          <w:tcPr>
            <w:tcW w:type="dxa" w:w="396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64 runs, depth 15 (invariant_runs/depth in foundry.toml)</w:t>
            </w:r>
          </w:p>
        </w:tc>
      </w:tr>
      <w:tr>
        <w:tc>
          <w:tcPr>
            <w:tcW w:type="dxa" w:w="198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bCs/>
                <w:color w:val="15803D"/>
                <w:sz w:val="19"/>
                <w:szCs w:val="19"/>
              </w:rPr>
              <w:t xml:space="preserve">Fork Tests</w:t>
            </w:r>
          </w:p>
        </w:tc>
        <w:tc>
          <w:tcPr>
            <w:tcW w:type="dxa" w:w="144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bCs/>
                <w:color w:val="0F172A"/>
                <w:sz w:val="19"/>
                <w:szCs w:val="19"/>
              </w:rPr>
              <w:t xml:space="preserve">3</w:t>
            </w:r>
          </w:p>
        </w:tc>
        <w:tc>
          <w:tcPr>
            <w:tcW w:type="dxa" w:w="198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 3</w:t>
            </w:r>
          </w:p>
        </w:tc>
        <w:tc>
          <w:tcPr>
            <w:tcW w:type="dxa" w:w="396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Mainnet fork — real Chainlink oracles and protocols</w:t>
            </w:r>
          </w:p>
        </w:tc>
      </w:tr>
      <w:tr>
        <w:tc>
          <w:tcPr>
            <w:tcW w:type="dxa" w:w="198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bCs/>
                <w:color w:val="0F172A"/>
                <w:sz w:val="19"/>
                <w:szCs w:val="19"/>
              </w:rPr>
              <w:t xml:space="preserve">TOTAL</w:t>
            </w:r>
          </w:p>
        </w:tc>
        <w:tc>
          <w:tcPr>
            <w:tcW w:type="dxa" w:w="144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bCs/>
                <w:color w:val="1D4ED8"/>
                <w:sz w:val="19"/>
                <w:szCs w:val="19"/>
              </w:rPr>
              <w:t xml:space="preserve">133</w:t>
            </w:r>
          </w:p>
        </w:tc>
        <w:tc>
          <w:tcPr>
            <w:tcW w:type="dxa" w:w="198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bCs/>
                <w:color w:val="0F172A"/>
                <w:sz w:val="19"/>
                <w:szCs w:val="19"/>
              </w:rPr>
              <w:t xml:space="preserve">≥ 80</w:t>
            </w:r>
          </w:p>
        </w:tc>
        <w:tc>
          <w:tcPr>
            <w:tcW w:type="dxa" w:w="396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All pass — 0 failures — 0 skipped</w:t>
            </w:r>
          </w:p>
        </w:tc>
      </w:tr>
    </w:tbl>
    <w:p>
      <w:pPr>
        <w:spacing w:after="120" w:before="0"/>
      </w:pPr>
      <w:r>
        <w:rPr>
          <w:sz w:val="22"/>
          <w:szCs w:val="22"/>
        </w:rPr>
        <w:t xml:space="preserve"/>
      </w:r>
    </w:p>
    <w:p>
      <w:pPr>
        <w:pStyle w:val="Heading2"/>
        <w:spacing w:after="140" w:before="320"/>
      </w:pPr>
      <w:r>
        <w:rPr>
          <w:rFonts w:ascii="Calibri" w:cs="Calibri" w:eastAsia="Calibri" w:hAnsi="Calibri"/>
          <w:b/>
          <w:bCs/>
          <w:color w:val="0F172A"/>
          <w:sz w:val="30"/>
          <w:szCs w:val="30"/>
        </w:rPr>
        <w:t xml:space="preserve">5.2 Unit Test Coverage</w:t>
      </w:r>
    </w:p>
    <w:p>
      <w:pPr>
        <w:spacing w:after="120" w:before="40"/>
      </w:pPr>
      <w:r>
        <w:rPr>
          <w:rFonts w:ascii="Calibri" w:cs="Calibri" w:eastAsia="Calibri" w:hAnsi="Calibri"/>
          <w:color w:val="0F172A"/>
          <w:sz w:val="22"/>
          <w:szCs w:val="22"/>
        </w:rPr>
        <w:t xml:space="preserve">Unit tests verify individual contract functions, access control enforcement, input validation, event emission, and edge cases. Key test files and their coverage:</w:t>
      </w:r>
    </w:p>
    <w:p>
      <w:pPr>
        <w:spacing w:after="12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240"/>
            <w:gridSpan w:val="1"/>
            <w:tcBorders>
              <w:top w:val="single" w:color="1D4ED8" w:sz="4"/>
              <w:left w:val="single" w:color="1D4ED8" w:sz="4"/>
              <w:bottom w:val="single" w:color="1D4ED8" w:sz="4"/>
              <w:right w:val="single" w:color="1D4ED8" w:sz="4"/>
            </w:tcBorders>
            <w:shd w:fill="1D4ED8" w:val="clear"/>
            <w:tcMar>
              <w:top w:type="dxa" w:w="80"/>
              <w:left w:type="dxa" w:w="120"/>
              <w:bottom w:type="dxa" w:w="80"/>
              <w:right w:type="dxa" w:w="120"/>
            </w:tcMar>
          </w:tcPr>
          <w:p>
            <w:r>
              <w:rPr>
                <w:rFonts w:ascii="Calibri" w:cs="Calibri" w:eastAsia="Calibri" w:hAnsi="Calibri"/>
                <w:b/>
                <w:bCs/>
                <w:color w:val="FFFFFF"/>
                <w:sz w:val="20"/>
                <w:szCs w:val="20"/>
              </w:rPr>
              <w:t xml:space="preserve">Test File</w:t>
            </w:r>
          </w:p>
        </w:tc>
        <w:tc>
          <w:tcPr>
            <w:tcW w:type="dxa" w:w="2160"/>
            <w:gridSpan w:val="1"/>
            <w:tcBorders>
              <w:top w:val="single" w:color="1D4ED8" w:sz="4"/>
              <w:left w:val="single" w:color="1D4ED8" w:sz="4"/>
              <w:bottom w:val="single" w:color="1D4ED8" w:sz="4"/>
              <w:right w:val="single" w:color="1D4ED8" w:sz="4"/>
            </w:tcBorders>
            <w:shd w:fill="1D4ED8" w:val="clear"/>
            <w:tcMar>
              <w:top w:type="dxa" w:w="80"/>
              <w:left w:type="dxa" w:w="120"/>
              <w:bottom w:type="dxa" w:w="80"/>
              <w:right w:type="dxa" w:w="120"/>
            </w:tcMar>
          </w:tcPr>
          <w:p>
            <w:r>
              <w:rPr>
                <w:rFonts w:ascii="Calibri" w:cs="Calibri" w:eastAsia="Calibri" w:hAnsi="Calibri"/>
                <w:b/>
                <w:bCs/>
                <w:color w:val="FFFFFF"/>
                <w:sz w:val="20"/>
                <w:szCs w:val="20"/>
              </w:rPr>
              <w:t xml:space="preserve">Contract</w:t>
            </w:r>
          </w:p>
        </w:tc>
        <w:tc>
          <w:tcPr>
            <w:tcW w:type="dxa" w:w="3900"/>
            <w:gridSpan w:val="1"/>
            <w:tcBorders>
              <w:top w:val="single" w:color="1D4ED8" w:sz="4"/>
              <w:left w:val="single" w:color="1D4ED8" w:sz="4"/>
              <w:bottom w:val="single" w:color="1D4ED8" w:sz="4"/>
              <w:right w:val="single" w:color="1D4ED8" w:sz="4"/>
            </w:tcBorders>
            <w:shd w:fill="1D4ED8" w:val="clear"/>
            <w:tcMar>
              <w:top w:type="dxa" w:w="80"/>
              <w:left w:type="dxa" w:w="120"/>
              <w:bottom w:type="dxa" w:w="80"/>
              <w:right w:type="dxa" w:w="120"/>
            </w:tcMar>
          </w:tcPr>
          <w:p>
            <w:r>
              <w:rPr>
                <w:rFonts w:ascii="Calibri" w:cs="Calibri" w:eastAsia="Calibri" w:hAnsi="Calibri"/>
                <w:b/>
                <w:bCs/>
                <w:color w:val="FFFFFF"/>
                <w:sz w:val="20"/>
                <w:szCs w:val="20"/>
              </w:rPr>
              <w:t xml:space="preserve">Focus Areas</w:t>
            </w:r>
          </w:p>
        </w:tc>
      </w:tr>
      <w:tr>
        <w:tc>
          <w:tcPr>
            <w:tcW w:type="dxa" w:w="324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GameToken.t.sol</w:t>
            </w:r>
          </w:p>
        </w:tc>
        <w:tc>
          <w:tcPr>
            <w:tcW w:type="dxa" w:w="216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GameToken</w:t>
            </w:r>
          </w:p>
        </w:tc>
        <w:tc>
          <w:tcPr>
            <w:tcW w:type="dxa" w:w="396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Minting, max supply enforcement, delegation, permits</w:t>
            </w:r>
          </w:p>
        </w:tc>
      </w:tr>
      <w:tr>
        <w:tc>
          <w:tcPr>
            <w:tcW w:type="dxa" w:w="324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GameItems.t.sol</w:t>
            </w:r>
          </w:p>
        </w:tc>
        <w:tc>
          <w:tcPr>
            <w:tcW w:type="dxa" w:w="216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GameItems</w:t>
            </w:r>
          </w:p>
        </w:tc>
        <w:tc>
          <w:tcPr>
            <w:tcW w:type="dxa" w:w="396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UUPS initialization, role-gated minting, batch transfers, upgrade path</w:t>
            </w:r>
          </w:p>
        </w:tc>
      </w:tr>
      <w:tr>
        <w:tc>
          <w:tcPr>
            <w:tcW w:type="dxa" w:w="324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GameAMM.t.sol</w:t>
            </w:r>
          </w:p>
        </w:tc>
        <w:tc>
          <w:tcPr>
            <w:tcW w:type="dxa" w:w="216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GameAMM</w:t>
            </w:r>
          </w:p>
        </w:tc>
        <w:tc>
          <w:tcPr>
            <w:tcW w:type="dxa" w:w="396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Swaps, liquidity, LP tokens, slippage, Yul vs Solidity comparison</w:t>
            </w:r>
          </w:p>
        </w:tc>
      </w:tr>
      <w:tr>
        <w:tc>
          <w:tcPr>
            <w:tcW w:type="dxa" w:w="324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GameVault.t.sol</w:t>
            </w:r>
          </w:p>
        </w:tc>
        <w:tc>
          <w:tcPr>
            <w:tcW w:type="dxa" w:w="216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GameVault</w:t>
            </w:r>
          </w:p>
        </w:tc>
        <w:tc>
          <w:tcPr>
            <w:tcW w:type="dxa" w:w="396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ERC-4626 deposit/withdraw, staleness revert, negative price revert</w:t>
            </w:r>
          </w:p>
        </w:tc>
      </w:tr>
      <w:tr>
        <w:tc>
          <w:tcPr>
            <w:tcW w:type="dxa" w:w="324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NFTRentalVault.t.sol</w:t>
            </w:r>
          </w:p>
        </w:tc>
        <w:tc>
          <w:tcPr>
            <w:tcW w:type="dxa" w:w="216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NFTRentalVault</w:t>
            </w:r>
          </w:p>
        </w:tc>
        <w:tc>
          <w:tcPr>
            <w:tcW w:type="dxa" w:w="396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List, rent, claim, delist, fee calculation, pull pattern</w:t>
            </w:r>
          </w:p>
        </w:tc>
      </w:tr>
      <w:tr>
        <w:tc>
          <w:tcPr>
            <w:tcW w:type="dxa" w:w="324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GameDAO.t.sol</w:t>
            </w:r>
          </w:p>
        </w:tc>
        <w:tc>
          <w:tcPr>
            <w:tcW w:type="dxa" w:w="216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GameDAO</w:t>
            </w:r>
          </w:p>
        </w:tc>
        <w:tc>
          <w:tcPr>
            <w:tcW w:type="dxa" w:w="396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Full governance lifecycle: propose → vote → queue → execute</w:t>
            </w:r>
          </w:p>
        </w:tc>
      </w:tr>
      <w:tr>
        <w:tc>
          <w:tcPr>
            <w:tcW w:type="dxa" w:w="324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GameFactory.t.sol</w:t>
            </w:r>
          </w:p>
        </w:tc>
        <w:tc>
          <w:tcPr>
            <w:tcW w:type="dxa" w:w="216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GameFactory</w:t>
            </w:r>
          </w:p>
        </w:tc>
        <w:tc>
          <w:tcPr>
            <w:tcW w:type="dxa" w:w="396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CREATE and CREATE2 deployment, address prediction</w:t>
            </w:r>
          </w:p>
        </w:tc>
      </w:tr>
      <w:tr>
        <w:tc>
          <w:tcPr>
            <w:tcW w:type="dxa" w:w="324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LootDrop.t.sol</w:t>
            </w:r>
          </w:p>
        </w:tc>
        <w:tc>
          <w:tcPr>
            <w:tcW w:type="dxa" w:w="216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LootDrop</w:t>
            </w:r>
          </w:p>
        </w:tc>
        <w:tc>
          <w:tcPr>
            <w:tcW w:type="dxa" w:w="396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VRF request, mock coordinator fulfillment, drop rate</w:t>
            </w:r>
          </w:p>
        </w:tc>
      </w:tr>
    </w:tbl>
    <w:p>
      <w:pPr>
        <w:spacing w:after="120" w:before="0"/>
      </w:pPr>
      <w:r>
        <w:rPr>
          <w:sz w:val="22"/>
          <w:szCs w:val="22"/>
        </w:rPr>
        <w:t xml:space="preserve"/>
      </w:r>
    </w:p>
    <w:p>
      <w:pPr>
        <w:pStyle w:val="Heading2"/>
        <w:spacing w:after="140" w:before="320"/>
      </w:pPr>
      <w:r>
        <w:rPr>
          <w:rFonts w:ascii="Calibri" w:cs="Calibri" w:eastAsia="Calibri" w:hAnsi="Calibri"/>
          <w:b/>
          <w:bCs/>
          <w:color w:val="0F172A"/>
          <w:sz w:val="30"/>
          <w:szCs w:val="30"/>
        </w:rPr>
        <w:t xml:space="preserve">5.3 Fuzz Tests</w:t>
      </w:r>
    </w:p>
    <w:p>
      <w:pPr>
        <w:spacing w:after="120" w:before="40"/>
      </w:pPr>
      <w:r>
        <w:rPr>
          <w:rFonts w:ascii="Calibri" w:cs="Calibri" w:eastAsia="Calibri" w:hAnsi="Calibri"/>
          <w:color w:val="0F172A"/>
          <w:sz w:val="22"/>
          <w:szCs w:val="22"/>
        </w:rPr>
        <w:t xml:space="preserve">Fuzz testing uses Foundry's fuzzer to generate 256 random input combinations per test, exploring the input space for property violations. Key fuzz tests:</w:t>
      </w:r>
    </w:p>
    <w:p>
      <w:pPr>
        <w:spacing w:after="120" w:before="0"/>
      </w:pPr>
      <w:r>
        <w:rPr>
          <w:sz w:val="22"/>
          <w:szCs w:val="22"/>
        </w:rPr>
        <w:t xml:space="preserve"/>
      </w:r>
    </w:p>
    <w:p>
      <w:pPr>
        <w:pStyle w:val="ListParagraph"/>
        <w:numPr>
          <w:ilvl w:val="0"/>
          <w:numId w:val="2"/>
        </w:numPr>
        <w:spacing w:after="60" w:before="30"/>
      </w:pPr>
      <w:r>
        <w:rPr>
          <w:rFonts w:ascii="Calibri" w:cs="Calibri" w:eastAsia="Calibri" w:hAnsi="Calibri"/>
          <w:color w:val="0F172A"/>
          <w:sz w:val="22"/>
          <w:szCs w:val="22"/>
        </w:rPr>
        <w:t xml:space="preserve">testFuzz_swapAtoB(uint256 amountIn) — verifies k invariant holds for any non-zero amountIn</w:t>
      </w:r>
    </w:p>
    <w:p>
      <w:pPr>
        <w:pStyle w:val="ListParagraph"/>
        <w:numPr>
          <w:ilvl w:val="0"/>
          <w:numId w:val="2"/>
        </w:numPr>
        <w:spacing w:after="60" w:before="30"/>
      </w:pPr>
      <w:r>
        <w:rPr>
          <w:rFonts w:ascii="Calibri" w:cs="Calibri" w:eastAsia="Calibri" w:hAnsi="Calibri"/>
          <w:color w:val="0F172A"/>
          <w:sz w:val="22"/>
          <w:szCs w:val="22"/>
        </w:rPr>
        <w:t xml:space="preserve">testFuzz_addLiquidity(uint64 amountA, uint64 amountB) — LP shares always proportional to deposit ratio</w:t>
      </w:r>
    </w:p>
    <w:p>
      <w:pPr>
        <w:pStyle w:val="ListParagraph"/>
        <w:numPr>
          <w:ilvl w:val="0"/>
          <w:numId w:val="2"/>
        </w:numPr>
        <w:spacing w:after="60" w:before="30"/>
      </w:pPr>
      <w:r>
        <w:rPr>
          <w:rFonts w:ascii="Calibri" w:cs="Calibri" w:eastAsia="Calibri" w:hAnsi="Calibri"/>
          <w:color w:val="0F172A"/>
          <w:sz w:val="22"/>
          <w:szCs w:val="22"/>
        </w:rPr>
        <w:t xml:space="preserve">testFuzz_removeLiquidity(uint128 shares) — removal always returns proportional tokens</w:t>
      </w:r>
    </w:p>
    <w:p>
      <w:pPr>
        <w:pStyle w:val="ListParagraph"/>
        <w:numPr>
          <w:ilvl w:val="0"/>
          <w:numId w:val="2"/>
        </w:numPr>
        <w:spacing w:after="60" w:before="30"/>
      </w:pPr>
      <w:r>
        <w:rPr>
          <w:rFonts w:ascii="Calibri" w:cs="Calibri" w:eastAsia="Calibri" w:hAnsi="Calibri"/>
          <w:color w:val="0F172A"/>
          <w:sz w:val="22"/>
          <w:szCs w:val="22"/>
        </w:rPr>
        <w:t xml:space="preserve">testFuzz_slippage_protection(uint256 amountIn) — minAmountOut always enforced correctly</w:t>
      </w:r>
    </w:p>
    <w:p>
      <w:pPr>
        <w:pStyle w:val="ListParagraph"/>
        <w:numPr>
          <w:ilvl w:val="0"/>
          <w:numId w:val="2"/>
        </w:numPr>
        <w:spacing w:after="60" w:before="30"/>
      </w:pPr>
      <w:r>
        <w:rPr>
          <w:rFonts w:ascii="Calibri" w:cs="Calibri" w:eastAsia="Calibri" w:hAnsi="Calibri"/>
          <w:color w:val="0F172A"/>
          <w:sz w:val="22"/>
          <w:szCs w:val="22"/>
        </w:rPr>
        <w:t xml:space="preserve">testFuzz_yul_matches_solidity(uint128 a, uint128 b, uint128 c) — Yul and Solidity implementations match for all valid inputs</w:t>
      </w:r>
    </w:p>
    <w:p>
      <w:pPr>
        <w:spacing w:after="120" w:before="0"/>
      </w:pPr>
      <w:r>
        <w:rPr>
          <w:sz w:val="22"/>
          <w:szCs w:val="22"/>
        </w:rPr>
        <w:t xml:space="preserve"/>
      </w:r>
    </w:p>
    <w:p>
      <w:pPr>
        <w:pStyle w:val="Heading2"/>
        <w:spacing w:after="140" w:before="320"/>
      </w:pPr>
      <w:r>
        <w:rPr>
          <w:rFonts w:ascii="Calibri" w:cs="Calibri" w:eastAsia="Calibri" w:hAnsi="Calibri"/>
          <w:b/>
          <w:bCs/>
          <w:color w:val="0F172A"/>
          <w:sz w:val="30"/>
          <w:szCs w:val="30"/>
        </w:rPr>
        <w:t xml:space="preserve">5.4 Invariant Tests</w:t>
      </w:r>
    </w:p>
    <w:p>
      <w:pPr>
        <w:spacing w:after="120" w:before="40"/>
      </w:pPr>
      <w:r>
        <w:rPr>
          <w:rFonts w:ascii="Calibri" w:cs="Calibri" w:eastAsia="Calibri" w:hAnsi="Calibri"/>
          <w:color w:val="0F172A"/>
          <w:sz w:val="22"/>
          <w:szCs w:val="22"/>
        </w:rPr>
        <w:t xml:space="preserve">Invariant (stateful) tests run 64 sequences of random function calls at depth 15, verifying that protocol invariants hold after any arbitrary sequence of interactions:</w:t>
      </w:r>
    </w:p>
    <w:p>
      <w:pPr>
        <w:spacing w:after="120" w:before="0"/>
      </w:pPr>
      <w:r>
        <w:rPr>
          <w:sz w:val="22"/>
          <w:szCs w:val="22"/>
        </w:rPr>
        <w:t xml:space="preserve"/>
      </w:r>
    </w:p>
    <w:p>
      <w:pPr>
        <w:pStyle w:val="ListParagraph"/>
        <w:numPr>
          <w:ilvl w:val="0"/>
          <w:numId w:val="2"/>
        </w:numPr>
        <w:spacing w:after="60" w:before="30"/>
      </w:pPr>
      <w:r>
        <w:rPr>
          <w:rFonts w:ascii="Calibri" w:cs="Calibri" w:eastAsia="Calibri" w:hAnsi="Calibri"/>
          <w:color w:val="0F172A"/>
          <w:sz w:val="22"/>
          <w:szCs w:val="22"/>
        </w:rPr>
        <w:t xml:space="preserve">invariant_k_never_decreases — the product k = reserveA × reserveB never decreases after any swap sequence on GameAMM</w:t>
      </w:r>
    </w:p>
    <w:p>
      <w:pPr>
        <w:pStyle w:val="ListParagraph"/>
        <w:numPr>
          <w:ilvl w:val="0"/>
          <w:numId w:val="2"/>
        </w:numPr>
        <w:spacing w:after="60" w:before="30"/>
      </w:pPr>
      <w:r>
        <w:rPr>
          <w:rFonts w:ascii="Calibri" w:cs="Calibri" w:eastAsia="Calibri" w:hAnsi="Calibri"/>
          <w:color w:val="0F172A"/>
          <w:sz w:val="22"/>
          <w:szCs w:val="22"/>
        </w:rPr>
        <w:t xml:space="preserve">invariant_reserves_match_balances — stored AMM reserves always equal the actual ERC-20 token balances</w:t>
      </w:r>
    </w:p>
    <w:p>
      <w:pPr>
        <w:pStyle w:val="ListParagraph"/>
        <w:numPr>
          <w:ilvl w:val="0"/>
          <w:numId w:val="2"/>
        </w:numPr>
        <w:spacing w:after="60" w:before="30"/>
      </w:pPr>
      <w:r>
        <w:rPr>
          <w:rFonts w:ascii="Calibri" w:cs="Calibri" w:eastAsia="Calibri" w:hAnsi="Calibri"/>
          <w:color w:val="0F172A"/>
          <w:sz w:val="22"/>
          <w:szCs w:val="22"/>
        </w:rPr>
        <w:t xml:space="preserve">invariant_lp_supply_bounded — total LP supply is always proportional to liquidity in the pool</w:t>
      </w:r>
    </w:p>
    <w:p>
      <w:pPr>
        <w:pStyle w:val="ListParagraph"/>
        <w:numPr>
          <w:ilvl w:val="0"/>
          <w:numId w:val="2"/>
        </w:numPr>
        <w:spacing w:after="60" w:before="30"/>
      </w:pPr>
      <w:r>
        <w:rPr>
          <w:rFonts w:ascii="Calibri" w:cs="Calibri" w:eastAsia="Calibri" w:hAnsi="Calibri"/>
          <w:color w:val="0F172A"/>
          <w:sz w:val="22"/>
          <w:szCs w:val="22"/>
        </w:rPr>
        <w:t xml:space="preserve">invariant_totalAssets_gte_deposits — GameVault total assets always cover total deposited principal</w:t>
      </w:r>
    </w:p>
    <w:p>
      <w:pPr>
        <w:pStyle w:val="ListParagraph"/>
        <w:numPr>
          <w:ilvl w:val="0"/>
          <w:numId w:val="2"/>
        </w:numPr>
        <w:spacing w:after="60" w:before="30"/>
      </w:pPr>
      <w:r>
        <w:rPr>
          <w:rFonts w:ascii="Calibri" w:cs="Calibri" w:eastAsia="Calibri" w:hAnsi="Calibri"/>
          <w:color w:val="0F172A"/>
          <w:sz w:val="22"/>
          <w:szCs w:val="22"/>
        </w:rPr>
        <w:t xml:space="preserve">invariant_total_supply_conservation — GameToken total supply never exceeds MAX_SUPPLY</w:t>
      </w:r>
    </w:p>
    <w:p>
      <w:pPr>
        <w:spacing w:after="120" w:before="0"/>
      </w:pPr>
      <w:r>
        <w:rPr>
          <w:sz w:val="22"/>
          <w:szCs w:val="22"/>
        </w:rPr>
        <w:t xml:space="preserve"/>
      </w:r>
    </w:p>
    <w:p>
      <w:pPr>
        <w:pStyle w:val="Heading2"/>
        <w:spacing w:after="140" w:before="320"/>
      </w:pPr>
      <w:r>
        <w:rPr>
          <w:rFonts w:ascii="Calibri" w:cs="Calibri" w:eastAsia="Calibri" w:hAnsi="Calibri"/>
          <w:b/>
          <w:bCs/>
          <w:color w:val="0F172A"/>
          <w:sz w:val="30"/>
          <w:szCs w:val="30"/>
        </w:rPr>
        <w:t xml:space="preserve">5.5 Fork Tests</w:t>
      </w:r>
    </w:p>
    <w:p>
      <w:pPr>
        <w:spacing w:after="120" w:before="40"/>
      </w:pPr>
      <w:r>
        <w:rPr>
          <w:rFonts w:ascii="Calibri" w:cs="Calibri" w:eastAsia="Calibri" w:hAnsi="Calibri"/>
          <w:color w:val="0F172A"/>
          <w:sz w:val="22"/>
          <w:szCs w:val="22"/>
        </w:rPr>
        <w:t xml:space="preserve">Fork tests connect to a mainnet fork to test integration with real deployed protocols:</w:t>
      </w:r>
    </w:p>
    <w:p>
      <w:pPr>
        <w:spacing w:after="120" w:before="0"/>
      </w:pPr>
      <w:r>
        <w:rPr>
          <w:sz w:val="22"/>
          <w:szCs w:val="22"/>
        </w:rPr>
        <w:t xml:space="preserve"/>
      </w:r>
    </w:p>
    <w:p>
      <w:pPr>
        <w:pStyle w:val="ListParagraph"/>
        <w:numPr>
          <w:ilvl w:val="0"/>
          <w:numId w:val="2"/>
        </w:numPr>
        <w:spacing w:after="60" w:before="30"/>
      </w:pPr>
      <w:r>
        <w:rPr>
          <w:rFonts w:ascii="Calibri" w:cs="Calibri" w:eastAsia="Calibri" w:hAnsi="Calibri"/>
          <w:color w:val="0F172A"/>
          <w:sz w:val="22"/>
          <w:szCs w:val="22"/>
        </w:rPr>
        <w:t xml:space="preserve">test_fork_chainlink_priceFeed — verifies real Chainlink ETH/USD feed returns a valid, non-stale price and GameVault correctly reads it</w:t>
      </w:r>
    </w:p>
    <w:p>
      <w:pPr>
        <w:pStyle w:val="ListParagraph"/>
        <w:numPr>
          <w:ilvl w:val="0"/>
          <w:numId w:val="2"/>
        </w:numPr>
        <w:spacing w:after="60" w:before="30"/>
      </w:pPr>
      <w:r>
        <w:rPr>
          <w:rFonts w:ascii="Calibri" w:cs="Calibri" w:eastAsia="Calibri" w:hAnsi="Calibri"/>
          <w:color w:val="0F172A"/>
          <w:sz w:val="22"/>
          <w:szCs w:val="22"/>
        </w:rPr>
        <w:t xml:space="preserve">test_fork_uniswap_v2_getAmountsOut — validates GameAMM formula output matches Uniswap V2 reference for equivalent inputs</w:t>
      </w:r>
    </w:p>
    <w:p>
      <w:pPr>
        <w:pStyle w:val="ListParagraph"/>
        <w:numPr>
          <w:ilvl w:val="0"/>
          <w:numId w:val="2"/>
        </w:numPr>
        <w:spacing w:after="60" w:before="30"/>
      </w:pPr>
      <w:r>
        <w:rPr>
          <w:rFonts w:ascii="Calibri" w:cs="Calibri" w:eastAsia="Calibri" w:hAnsi="Calibri"/>
          <w:color w:val="0F172A"/>
          <w:sz w:val="22"/>
          <w:szCs w:val="22"/>
        </w:rPr>
        <w:t xml:space="preserve">test_fork_usdc_transfer — verifies SafeERC20 wrapping works correctly with real USDC contract (non-standard return value handling)</w:t>
      </w:r>
    </w:p>
    <w:p>
      <w:pPr>
        <w:spacing w:after="120" w:before="0"/>
      </w:pPr>
      <w:r>
        <w:rPr>
          <w:sz w:val="22"/>
          <w:szCs w:val="22"/>
        </w:rPr>
        <w:t xml:space="preserve"/>
      </w:r>
    </w:p>
    <w:p>
      <w:pPr>
        <w:pStyle w:val="Heading2"/>
        <w:spacing w:after="140" w:before="320"/>
      </w:pPr>
      <w:r>
        <w:rPr>
          <w:rFonts w:ascii="Calibri" w:cs="Calibri" w:eastAsia="Calibri" w:hAnsi="Calibri"/>
          <w:b/>
          <w:bCs/>
          <w:color w:val="0F172A"/>
          <w:sz w:val="30"/>
          <w:szCs w:val="30"/>
        </w:rPr>
        <w:t xml:space="preserve">5.6 Gas Benchmarks</w:t>
      </w:r>
    </w:p>
    <w:p>
      <w:pPr>
        <w:spacing w:after="120" w:before="40"/>
      </w:pPr>
      <w:r>
        <w:rPr>
          <w:rFonts w:ascii="Calibri" w:cs="Calibri" w:eastAsia="Calibri" w:hAnsi="Calibri"/>
          <w:color w:val="0F172A"/>
          <w:sz w:val="22"/>
          <w:szCs w:val="22"/>
        </w:rPr>
        <w:t xml:space="preserve">Gas consumption for key operations was benchmarked using forge snapshot. L1 vs L2 comparison based on Arbitrum Sepolia fee structure (~10x cheaper than Ethereum Mainnet):</w:t>
      </w:r>
    </w:p>
    <w:p>
      <w:pPr>
        <w:spacing w:after="12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240"/>
            <w:gridSpan w:val="1"/>
            <w:tcBorders>
              <w:top w:val="single" w:color="1D4ED8" w:sz="4"/>
              <w:left w:val="single" w:color="1D4ED8" w:sz="4"/>
              <w:bottom w:val="single" w:color="1D4ED8" w:sz="4"/>
              <w:right w:val="single" w:color="1D4ED8" w:sz="4"/>
            </w:tcBorders>
            <w:shd w:fill="1D4ED8" w:val="clear"/>
            <w:tcMar>
              <w:top w:type="dxa" w:w="80"/>
              <w:left w:type="dxa" w:w="120"/>
              <w:bottom w:type="dxa" w:w="80"/>
              <w:right w:type="dxa" w:w="120"/>
            </w:tcMar>
          </w:tcPr>
          <w:p>
            <w:r>
              <w:rPr>
                <w:rFonts w:ascii="Calibri" w:cs="Calibri" w:eastAsia="Calibri" w:hAnsi="Calibri"/>
                <w:b/>
                <w:bCs/>
                <w:color w:val="FFFFFF"/>
                <w:sz w:val="20"/>
                <w:szCs w:val="20"/>
              </w:rPr>
              <w:t xml:space="preserve">Operation</w:t>
            </w:r>
          </w:p>
        </w:tc>
        <w:tc>
          <w:tcPr>
            <w:tcW w:type="dxa" w:w="1980"/>
            <w:gridSpan w:val="1"/>
            <w:tcBorders>
              <w:top w:val="single" w:color="1D4ED8" w:sz="4"/>
              <w:left w:val="single" w:color="1D4ED8" w:sz="4"/>
              <w:bottom w:val="single" w:color="1D4ED8" w:sz="4"/>
              <w:right w:val="single" w:color="1D4ED8" w:sz="4"/>
            </w:tcBorders>
            <w:shd w:fill="1D4ED8" w:val="clear"/>
            <w:tcMar>
              <w:top w:type="dxa" w:w="80"/>
              <w:left w:type="dxa" w:w="120"/>
              <w:bottom w:type="dxa" w:w="80"/>
              <w:right w:type="dxa" w:w="120"/>
            </w:tcMar>
          </w:tcPr>
          <w:p>
            <w:r>
              <w:rPr>
                <w:rFonts w:ascii="Calibri" w:cs="Calibri" w:eastAsia="Calibri" w:hAnsi="Calibri"/>
                <w:b/>
                <w:bCs/>
                <w:color w:val="FFFFFF"/>
                <w:sz w:val="20"/>
                <w:szCs w:val="20"/>
              </w:rPr>
              <w:t xml:space="preserve">Gas Units</w:t>
            </w:r>
          </w:p>
        </w:tc>
        <w:tc>
          <w:tcPr>
            <w:tcW w:type="dxa" w:w="1980"/>
            <w:gridSpan w:val="1"/>
            <w:tcBorders>
              <w:top w:val="single" w:color="1D4ED8" w:sz="4"/>
              <w:left w:val="single" w:color="1D4ED8" w:sz="4"/>
              <w:bottom w:val="single" w:color="1D4ED8" w:sz="4"/>
              <w:right w:val="single" w:color="1D4ED8" w:sz="4"/>
            </w:tcBorders>
            <w:shd w:fill="1D4ED8" w:val="clear"/>
            <w:tcMar>
              <w:top w:type="dxa" w:w="80"/>
              <w:left w:type="dxa" w:w="120"/>
              <w:bottom w:type="dxa" w:w="80"/>
              <w:right w:type="dxa" w:w="120"/>
            </w:tcMar>
          </w:tcPr>
          <w:p>
            <w:r>
              <w:rPr>
                <w:rFonts w:ascii="Calibri" w:cs="Calibri" w:eastAsia="Calibri" w:hAnsi="Calibri"/>
                <w:b/>
                <w:bCs/>
                <w:color w:val="FFFFFF"/>
                <w:sz w:val="20"/>
                <w:szCs w:val="20"/>
              </w:rPr>
              <w:t xml:space="preserve">ETH L1 (est.)</w:t>
            </w:r>
          </w:p>
        </w:tc>
        <w:tc>
          <w:tcPr>
            <w:tcW w:type="dxa" w:w="2160"/>
            <w:gridSpan w:val="1"/>
            <w:tcBorders>
              <w:top w:val="single" w:color="1D4ED8" w:sz="4"/>
              <w:left w:val="single" w:color="1D4ED8" w:sz="4"/>
              <w:bottom w:val="single" w:color="1D4ED8" w:sz="4"/>
              <w:right w:val="single" w:color="1D4ED8" w:sz="4"/>
            </w:tcBorders>
            <w:shd w:fill="1D4ED8" w:val="clear"/>
            <w:tcMar>
              <w:top w:type="dxa" w:w="80"/>
              <w:left w:type="dxa" w:w="120"/>
              <w:bottom w:type="dxa" w:w="80"/>
              <w:right w:type="dxa" w:w="120"/>
            </w:tcMar>
          </w:tcPr>
          <w:p>
            <w:r>
              <w:rPr>
                <w:rFonts w:ascii="Calibri" w:cs="Calibri" w:eastAsia="Calibri" w:hAnsi="Calibri"/>
                <w:b/>
                <w:bCs/>
                <w:color w:val="FFFFFF"/>
                <w:sz w:val="20"/>
                <w:szCs w:val="20"/>
              </w:rPr>
              <w:t xml:space="preserve">Arb Sepolia (est.)</w:t>
            </w:r>
          </w:p>
        </w:tc>
      </w:tr>
      <w:tr>
        <w:tc>
          <w:tcPr>
            <w:tcW w:type="dxa" w:w="324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GameToken deploy</w:t>
            </w:r>
          </w:p>
        </w:tc>
        <w:tc>
          <w:tcPr>
            <w:tcW w:type="dxa" w:w="198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~1,200,000</w:t>
            </w:r>
          </w:p>
        </w:tc>
        <w:tc>
          <w:tcPr>
            <w:tcW w:type="dxa" w:w="198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~$40.00</w:t>
            </w:r>
          </w:p>
        </w:tc>
        <w:tc>
          <w:tcPr>
            <w:tcW w:type="dxa" w:w="216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val="false"/>
                <w:bCs w:val="false"/>
                <w:color w:val="15803D"/>
                <w:sz w:val="19"/>
                <w:szCs w:val="19"/>
              </w:rPr>
              <w:t xml:space="preserve">~$4.00 ✓</w:t>
            </w:r>
          </w:p>
        </w:tc>
      </w:tr>
      <w:tr>
        <w:tc>
          <w:tcPr>
            <w:tcW w:type="dxa" w:w="324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addLiquidity (initial)</w:t>
            </w:r>
          </w:p>
        </w:tc>
        <w:tc>
          <w:tcPr>
            <w:tcW w:type="dxa" w:w="198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~180,000</w:t>
            </w:r>
          </w:p>
        </w:tc>
        <w:tc>
          <w:tcPr>
            <w:tcW w:type="dxa" w:w="198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~$6.00</w:t>
            </w:r>
          </w:p>
        </w:tc>
        <w:tc>
          <w:tcPr>
            <w:tcW w:type="dxa" w:w="216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val="false"/>
                <w:bCs w:val="false"/>
                <w:color w:val="15803D"/>
                <w:sz w:val="19"/>
                <w:szCs w:val="19"/>
              </w:rPr>
              <w:t xml:space="preserve">~$0.60 ✓</w:t>
            </w:r>
          </w:p>
        </w:tc>
      </w:tr>
      <w:tr>
        <w:tc>
          <w:tcPr>
            <w:tcW w:type="dxa" w:w="324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swapAtoB</w:t>
            </w:r>
          </w:p>
        </w:tc>
        <w:tc>
          <w:tcPr>
            <w:tcW w:type="dxa" w:w="198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~85,000</w:t>
            </w:r>
          </w:p>
        </w:tc>
        <w:tc>
          <w:tcPr>
            <w:tcW w:type="dxa" w:w="198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~$2.80</w:t>
            </w:r>
          </w:p>
        </w:tc>
        <w:tc>
          <w:tcPr>
            <w:tcW w:type="dxa" w:w="216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val="false"/>
                <w:bCs w:val="false"/>
                <w:color w:val="15803D"/>
                <w:sz w:val="19"/>
                <w:szCs w:val="19"/>
              </w:rPr>
              <w:t xml:space="preserve">~$0.28 ✓</w:t>
            </w:r>
          </w:p>
        </w:tc>
      </w:tr>
      <w:tr>
        <w:tc>
          <w:tcPr>
            <w:tcW w:type="dxa" w:w="324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deposit ERC-4626</w:t>
            </w:r>
          </w:p>
        </w:tc>
        <w:tc>
          <w:tcPr>
            <w:tcW w:type="dxa" w:w="198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~95,000</w:t>
            </w:r>
          </w:p>
        </w:tc>
        <w:tc>
          <w:tcPr>
            <w:tcW w:type="dxa" w:w="198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~$3.15</w:t>
            </w:r>
          </w:p>
        </w:tc>
        <w:tc>
          <w:tcPr>
            <w:tcW w:type="dxa" w:w="216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val="false"/>
                <w:bCs w:val="false"/>
                <w:color w:val="15803D"/>
                <w:sz w:val="19"/>
                <w:szCs w:val="19"/>
              </w:rPr>
              <w:t xml:space="preserve">~$0.32 ✓</w:t>
            </w:r>
          </w:p>
        </w:tc>
      </w:tr>
      <w:tr>
        <w:tc>
          <w:tcPr>
            <w:tcW w:type="dxa" w:w="324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listItem (rental)</w:t>
            </w:r>
          </w:p>
        </w:tc>
        <w:tc>
          <w:tcPr>
            <w:tcW w:type="dxa" w:w="198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~110,000</w:t>
            </w:r>
          </w:p>
        </w:tc>
        <w:tc>
          <w:tcPr>
            <w:tcW w:type="dxa" w:w="198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~$3.65</w:t>
            </w:r>
          </w:p>
        </w:tc>
        <w:tc>
          <w:tcPr>
            <w:tcW w:type="dxa" w:w="216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val="false"/>
                <w:bCs w:val="false"/>
                <w:color w:val="15803D"/>
                <w:sz w:val="19"/>
                <w:szCs w:val="19"/>
              </w:rPr>
              <w:t xml:space="preserve">~$0.37 ✓</w:t>
            </w:r>
          </w:p>
        </w:tc>
      </w:tr>
      <w:tr>
        <w:tc>
          <w:tcPr>
            <w:tcW w:type="dxa" w:w="324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propose (DAO)</w:t>
            </w:r>
          </w:p>
        </w:tc>
        <w:tc>
          <w:tcPr>
            <w:tcW w:type="dxa" w:w="198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~200,000</w:t>
            </w:r>
          </w:p>
        </w:tc>
        <w:tc>
          <w:tcPr>
            <w:tcW w:type="dxa" w:w="198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~$6.60</w:t>
            </w:r>
          </w:p>
        </w:tc>
        <w:tc>
          <w:tcPr>
            <w:tcW w:type="dxa" w:w="216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val="false"/>
                <w:bCs w:val="false"/>
                <w:color w:val="15803D"/>
                <w:sz w:val="19"/>
                <w:szCs w:val="19"/>
              </w:rPr>
              <w:t xml:space="preserve">~$0.66 ✓</w:t>
            </w:r>
          </w:p>
        </w:tc>
      </w:tr>
    </w:tbl>
    <w:p>
      <w:pPr>
        <w:spacing w:after="120" w:before="0"/>
      </w:pPr>
      <w:r>
        <w:rPr>
          <w:sz w:val="22"/>
          <w:szCs w:val="22"/>
        </w:rPr>
        <w:t xml:space="preserve"/>
      </w:r>
    </w:p>
    <w:p>
      <w:r>
        <w:br w:type="page"/>
      </w:r>
    </w:p>
    <w:p>
      <w:pPr>
        <w:pStyle w:val="Heading1"/>
        <w:pBdr>
          <w:bottom w:val="single" w:color="1D4ED8" w:sz="4" w:space="6"/>
        </w:pBdr>
        <w:spacing w:after="200" w:before="480"/>
      </w:pPr>
      <w:r>
        <w:rPr>
          <w:rFonts w:ascii="Calibri" w:cs="Calibri" w:eastAsia="Calibri" w:hAnsi="Calibri"/>
          <w:b/>
          <w:bCs/>
          <w:color w:val="1D4ED8"/>
          <w:sz w:val="40"/>
          <w:szCs w:val="40"/>
        </w:rPr>
        <w:t xml:space="preserve">6. External Integrations</w:t>
      </w:r>
    </w:p>
    <w:p>
      <w:pPr>
        <w:pStyle w:val="Heading2"/>
        <w:spacing w:after="140" w:before="320"/>
      </w:pPr>
      <w:r>
        <w:rPr>
          <w:rFonts w:ascii="Calibri" w:cs="Calibri" w:eastAsia="Calibri" w:hAnsi="Calibri"/>
          <w:b/>
          <w:bCs/>
          <w:color w:val="0F172A"/>
          <w:sz w:val="30"/>
          <w:szCs w:val="30"/>
        </w:rPr>
        <w:t xml:space="preserve">6.1 Chainlink VRF Subscription</w:t>
      </w:r>
    </w:p>
    <w:p>
      <w:pPr>
        <w:spacing w:after="120" w:before="40"/>
      </w:pPr>
      <w:r>
        <w:rPr>
          <w:rFonts w:ascii="Calibri" w:cs="Calibri" w:eastAsia="Calibri" w:hAnsi="Calibri"/>
          <w:color w:val="0F172A"/>
          <w:sz w:val="22"/>
          <w:szCs w:val="22"/>
        </w:rPr>
        <w:t xml:space="preserve">The LootDrop contract is registered as a consumer on a Chainlink VRF v2 subscription. As shown in the Chainlink VRF dashboard screenshot, the subscription details are:</w:t>
      </w:r>
    </w:p>
    <w:p>
      <w:pPr>
        <w:spacing w:after="120" w:before="0"/>
      </w:pPr>
      <w:r>
        <w:rPr>
          <w:sz w:val="22"/>
          <w:szCs w:val="22"/>
        </w:rPr>
        <w:t xml:space="preserve"/>
      </w:r>
    </w:p>
    <w:p>
      <w:pPr>
        <w:pStyle w:val="ListParagraph"/>
        <w:numPr>
          <w:ilvl w:val="0"/>
          <w:numId w:val="2"/>
        </w:numPr>
        <w:spacing w:after="60" w:before="30"/>
      </w:pPr>
      <w:r>
        <w:rPr>
          <w:rFonts w:ascii="Calibri" w:cs="Calibri" w:eastAsia="Calibri" w:hAnsi="Calibri"/>
          <w:color w:val="0F172A"/>
          <w:sz w:val="22"/>
          <w:szCs w:val="22"/>
        </w:rPr>
        <w:t xml:space="preserve">Subscription ID: 110299...5662</w:t>
      </w:r>
    </w:p>
    <w:p>
      <w:pPr>
        <w:pStyle w:val="ListParagraph"/>
        <w:numPr>
          <w:ilvl w:val="0"/>
          <w:numId w:val="2"/>
        </w:numPr>
        <w:spacing w:after="60" w:before="30"/>
      </w:pPr>
      <w:r>
        <w:rPr>
          <w:rFonts w:ascii="Calibri" w:cs="Calibri" w:eastAsia="Calibri" w:hAnsi="Calibri"/>
          <w:color w:val="0F172A"/>
          <w:sz w:val="22"/>
          <w:szCs w:val="22"/>
        </w:rPr>
        <w:t xml:space="preserve">Status: Active — Arbitrum Sepolia — Version: 2.5</w:t>
      </w:r>
    </w:p>
    <w:p>
      <w:pPr>
        <w:pStyle w:val="ListParagraph"/>
        <w:numPr>
          <w:ilvl w:val="0"/>
          <w:numId w:val="2"/>
        </w:numPr>
        <w:spacing w:after="60" w:before="30"/>
      </w:pPr>
      <w:r>
        <w:rPr>
          <w:rFonts w:ascii="Calibri" w:cs="Calibri" w:eastAsia="Calibri" w:hAnsi="Calibri"/>
          <w:color w:val="0F172A"/>
          <w:sz w:val="22"/>
          <w:szCs w:val="22"/>
        </w:rPr>
        <w:t xml:space="preserve">Balance: 5 LINK, 0 ETH</w:t>
      </w:r>
    </w:p>
    <w:p>
      <w:pPr>
        <w:pStyle w:val="ListParagraph"/>
        <w:numPr>
          <w:ilvl w:val="0"/>
          <w:numId w:val="2"/>
        </w:numPr>
        <w:spacing w:after="60" w:before="30"/>
      </w:pPr>
      <w:r>
        <w:rPr>
          <w:rFonts w:ascii="Calibri" w:cs="Calibri" w:eastAsia="Calibri" w:hAnsi="Calibri"/>
          <w:color w:val="0F172A"/>
          <w:sz w:val="22"/>
          <w:szCs w:val="22"/>
        </w:rPr>
        <w:t xml:space="preserve">Consumers: 2 registered (0x38fd...e97e and 0x5f90...8f01)</w:t>
      </w:r>
    </w:p>
    <w:p>
      <w:pPr>
        <w:pStyle w:val="ListParagraph"/>
        <w:numPr>
          <w:ilvl w:val="0"/>
          <w:numId w:val="2"/>
        </w:numPr>
        <w:spacing w:after="60" w:before="30"/>
      </w:pPr>
      <w:r>
        <w:rPr>
          <w:rFonts w:ascii="Calibri" w:cs="Calibri" w:eastAsia="Calibri" w:hAnsi="Calibri"/>
          <w:color w:val="0F172A"/>
          <w:sz w:val="22"/>
          <w:szCs w:val="22"/>
        </w:rPr>
        <w:t xml:space="preserve">Fulfillments: 4 completed (as of audit date May 17, 2026)</w:t>
      </w:r>
    </w:p>
    <w:p>
      <w:pPr>
        <w:spacing w:after="120" w:before="0"/>
      </w:pPr>
      <w:r>
        <w:rPr>
          <w:sz w:val="22"/>
          <w:szCs w:val="22"/>
        </w:rPr>
        <w:t xml:space="preserve"/>
      </w:r>
    </w:p>
    <w:p>
      <w:pPr>
        <w:spacing w:after="120" w:before="40"/>
      </w:pPr>
      <w:r>
        <w:rPr>
          <w:rFonts w:ascii="Calibri" w:cs="Calibri" w:eastAsia="Calibri" w:hAnsi="Calibri"/>
          <w:color w:val="0F172A"/>
          <w:sz w:val="22"/>
          <w:szCs w:val="22"/>
        </w:rPr>
        <w:t xml:space="preserve">The subscription was funded with 5 LINK to support ongoing loot drop requests during the evaluation period. Each VRF request consumes approximately 0.001–0.003 LINK depending on gas prices, providing capacity for approximately 1,500–5,000 loot requests.</w:t>
      </w:r>
    </w:p>
    <w:p>
      <w:pPr>
        <w:spacing w:after="120" w:before="0"/>
      </w:pPr>
      <w:r>
        <w:rPr>
          <w:sz w:val="22"/>
          <w:szCs w:val="22"/>
        </w:rPr>
        <w:t xml:space="preserve"/>
      </w:r>
    </w:p>
    <w:p>
      <w:pPr>
        <w:pStyle w:val="Heading2"/>
        <w:spacing w:after="140" w:before="320"/>
      </w:pPr>
      <w:r>
        <w:rPr>
          <w:rFonts w:ascii="Calibri" w:cs="Calibri" w:eastAsia="Calibri" w:hAnsi="Calibri"/>
          <w:b/>
          <w:bCs/>
          <w:color w:val="0F172A"/>
          <w:sz w:val="30"/>
          <w:szCs w:val="30"/>
        </w:rPr>
        <w:t xml:space="preserve">6.2 The Graph Subgraph</w:t>
      </w:r>
    </w:p>
    <w:p>
      <w:pPr>
        <w:spacing w:after="120" w:before="40"/>
      </w:pPr>
      <w:r>
        <w:rPr>
          <w:rFonts w:ascii="Calibri" w:cs="Calibri" w:eastAsia="Calibri" w:hAnsi="Calibri"/>
          <w:color w:val="0F172A"/>
          <w:sz w:val="22"/>
          <w:szCs w:val="22"/>
        </w:rPr>
        <w:t xml:space="preserve">The protocol implements a production-deployed The Graph subgraph for indexing on-chain events. As shown in the Subgraph Studio screenshot:</w:t>
      </w:r>
    </w:p>
    <w:p>
      <w:pPr>
        <w:spacing w:after="120" w:before="0"/>
      </w:pPr>
      <w:r>
        <w:rPr>
          <w:sz w:val="22"/>
          <w:szCs w:val="22"/>
        </w:rPr>
        <w:t xml:space="preserve"/>
      </w:r>
    </w:p>
    <w:p>
      <w:pPr>
        <w:pStyle w:val="ListParagraph"/>
        <w:numPr>
          <w:ilvl w:val="0"/>
          <w:numId w:val="2"/>
        </w:numPr>
        <w:spacing w:after="60" w:before="30"/>
      </w:pPr>
      <w:r>
        <w:rPr>
          <w:rFonts w:ascii="Calibri" w:cs="Calibri" w:eastAsia="Calibri" w:hAnsi="Calibri"/>
          <w:color w:val="0F172A"/>
          <w:sz w:val="22"/>
          <w:szCs w:val="22"/>
        </w:rPr>
        <w:t xml:space="preserve">Name: gamefi-protocol — Slug: gamefi-protocol — Version: v0.0.5</w:t>
      </w:r>
    </w:p>
    <w:p>
      <w:pPr>
        <w:pStyle w:val="ListParagraph"/>
        <w:numPr>
          <w:ilvl w:val="0"/>
          <w:numId w:val="2"/>
        </w:numPr>
        <w:spacing w:after="60" w:before="30"/>
      </w:pPr>
      <w:r>
        <w:rPr>
          <w:rFonts w:ascii="Calibri" w:cs="Calibri" w:eastAsia="Calibri" w:hAnsi="Calibri"/>
          <w:color w:val="0F172A"/>
          <w:sz w:val="22"/>
          <w:szCs w:val="22"/>
        </w:rPr>
        <w:t xml:space="preserve">Status: DEPLOYED — Network: Arbitrum Sepolia</w:t>
      </w:r>
    </w:p>
    <w:p>
      <w:pPr>
        <w:pStyle w:val="ListParagraph"/>
        <w:numPr>
          <w:ilvl w:val="0"/>
          <w:numId w:val="2"/>
        </w:numPr>
        <w:spacing w:after="60" w:before="30"/>
      </w:pPr>
      <w:r>
        <w:rPr>
          <w:rFonts w:ascii="Calibri" w:cs="Calibri" w:eastAsia="Calibri" w:hAnsi="Calibri"/>
          <w:color w:val="0F172A"/>
          <w:sz w:val="22"/>
          <w:szCs w:val="22"/>
        </w:rPr>
        <w:t xml:space="preserve">Progress: SYNCED — 100%</w:t>
      </w:r>
    </w:p>
    <w:p>
      <w:pPr>
        <w:pStyle w:val="ListParagraph"/>
        <w:numPr>
          <w:ilvl w:val="0"/>
          <w:numId w:val="2"/>
        </w:numPr>
        <w:spacing w:after="60" w:before="30"/>
      </w:pPr>
      <w:r>
        <w:rPr>
          <w:rFonts w:ascii="Calibri" w:cs="Calibri" w:eastAsia="Calibri" w:hAnsi="Calibri"/>
          <w:color w:val="0F172A"/>
          <w:sz w:val="22"/>
          <w:szCs w:val="22"/>
        </w:rPr>
        <w:t xml:space="preserve">Entity Count: 9 indexed entity types</w:t>
      </w:r>
    </w:p>
    <w:p>
      <w:pPr>
        <w:pStyle w:val="ListParagraph"/>
        <w:numPr>
          <w:ilvl w:val="0"/>
          <w:numId w:val="2"/>
        </w:numPr>
        <w:spacing w:after="60" w:before="30"/>
      </w:pPr>
      <w:r>
        <w:rPr>
          <w:rFonts w:ascii="Calibri" w:cs="Calibri" w:eastAsia="Calibri" w:hAnsi="Calibri"/>
          <w:color w:val="0F172A"/>
          <w:sz w:val="22"/>
          <w:szCs w:val="22"/>
        </w:rPr>
        <w:t xml:space="preserve">Playground: GraphQL playground available with tokenTransfers and swaps queries</w:t>
      </w:r>
    </w:p>
    <w:p>
      <w:pPr>
        <w:spacing w:after="120" w:before="0"/>
      </w:pPr>
      <w:r>
        <w:rPr>
          <w:sz w:val="22"/>
          <w:szCs w:val="22"/>
        </w:rPr>
        <w:t xml:space="preserve"/>
      </w:r>
    </w:p>
    <w:p>
      <w:pPr>
        <w:spacing w:after="120" w:before="40"/>
      </w:pPr>
      <w:r>
        <w:rPr>
          <w:rFonts w:ascii="Calibri" w:cs="Calibri" w:eastAsia="Calibri" w:hAnsi="Calibri"/>
          <w:color w:val="0F172A"/>
          <w:sz w:val="22"/>
          <w:szCs w:val="22"/>
        </w:rPr>
        <w:t xml:space="preserve">The subgraph indexes the following event types: TokenTransfer, Swap, LiquidityEvent, AMMPool, Listing, Rental, Proposal, Vote, LootRequest — providing comprehensive historical data for the dApp frontend and protocol analytics.</w:t>
      </w:r>
    </w:p>
    <w:p>
      <w:pPr>
        <w:spacing w:after="120" w:before="0"/>
      </w:pPr>
      <w:r>
        <w:rPr>
          <w:sz w:val="22"/>
          <w:szCs w:val="22"/>
        </w:rPr>
        <w:t xml:space="preserve"/>
      </w:r>
    </w:p>
    <w:p>
      <w:pPr>
        <w:pStyle w:val="Heading2"/>
        <w:spacing w:after="140" w:before="320"/>
      </w:pPr>
      <w:r>
        <w:rPr>
          <w:rFonts w:ascii="Calibri" w:cs="Calibri" w:eastAsia="Calibri" w:hAnsi="Calibri"/>
          <w:b/>
          <w:bCs/>
          <w:color w:val="0F172A"/>
          <w:sz w:val="30"/>
          <w:szCs w:val="30"/>
        </w:rPr>
        <w:t xml:space="preserve">6.3 Arbiscan Contract Verification</w:t>
      </w:r>
    </w:p>
    <w:p>
      <w:pPr>
        <w:spacing w:after="120" w:before="40"/>
      </w:pPr>
      <w:r>
        <w:rPr>
          <w:rFonts w:ascii="Calibri" w:cs="Calibri" w:eastAsia="Calibri" w:hAnsi="Calibri"/>
          <w:color w:val="0F172A"/>
          <w:sz w:val="22"/>
          <w:szCs w:val="22"/>
        </w:rPr>
        <w:t xml:space="preserve">All 10 deployed contracts are source-verified on Arbiscan (Arbitrum Sepolia block explorer). The Arbiscan screenshot shows the GameDAO contract's write interface, specifically the propose() function with:</w:t>
      </w:r>
    </w:p>
    <w:p>
      <w:pPr>
        <w:spacing w:after="120" w:before="0"/>
      </w:pPr>
      <w:r>
        <w:rPr>
          <w:sz w:val="22"/>
          <w:szCs w:val="22"/>
        </w:rPr>
        <w:t xml:space="preserve"/>
      </w:r>
    </w:p>
    <w:p>
      <w:pPr>
        <w:pStyle w:val="ListParagraph"/>
        <w:numPr>
          <w:ilvl w:val="0"/>
          <w:numId w:val="2"/>
        </w:numPr>
        <w:spacing w:after="60" w:before="30"/>
      </w:pPr>
      <w:r>
        <w:rPr>
          <w:rFonts w:ascii="Calibri" w:cs="Calibri" w:eastAsia="Calibri" w:hAnsi="Calibri"/>
          <w:color w:val="0F172A"/>
          <w:sz w:val="22"/>
          <w:szCs w:val="22"/>
        </w:rPr>
        <w:t xml:space="preserve">targets: [0x407a5Da64E3fc9FF202b76355d0FC0F34390c41A] — GameToken contract</w:t>
      </w:r>
    </w:p>
    <w:p>
      <w:pPr>
        <w:pStyle w:val="ListParagraph"/>
        <w:numPr>
          <w:ilvl w:val="0"/>
          <w:numId w:val="2"/>
        </w:numPr>
        <w:spacing w:after="60" w:before="30"/>
      </w:pPr>
      <w:r>
        <w:rPr>
          <w:rFonts w:ascii="Calibri" w:cs="Calibri" w:eastAsia="Calibri" w:hAnsi="Calibri"/>
          <w:color w:val="0F172A"/>
          <w:sz w:val="22"/>
          <w:szCs w:val="22"/>
        </w:rPr>
        <w:t xml:space="preserve">values: [0] — no ETH sent with proposal</w:t>
      </w:r>
    </w:p>
    <w:p>
      <w:pPr>
        <w:pStyle w:val="ListParagraph"/>
        <w:numPr>
          <w:ilvl w:val="0"/>
          <w:numId w:val="2"/>
        </w:numPr>
        <w:spacing w:after="60" w:before="30"/>
      </w:pPr>
      <w:r>
        <w:rPr>
          <w:rFonts w:ascii="Calibri" w:cs="Calibri" w:eastAsia="Calibri" w:hAnsi="Calibri"/>
          <w:color w:val="0F172A"/>
          <w:sz w:val="22"/>
          <w:szCs w:val="22"/>
        </w:rPr>
        <w:t xml:space="preserve">calldatas: ['0x'] — raw calldata for governance action</w:t>
      </w:r>
    </w:p>
    <w:p>
      <w:pPr>
        <w:pStyle w:val="ListParagraph"/>
        <w:numPr>
          <w:ilvl w:val="0"/>
          <w:numId w:val="2"/>
        </w:numPr>
        <w:spacing w:after="60" w:before="30"/>
      </w:pPr>
      <w:r>
        <w:rPr>
          <w:rFonts w:ascii="Calibri" w:cs="Calibri" w:eastAsia="Calibri" w:hAnsi="Calibri"/>
          <w:color w:val="0F172A"/>
          <w:sz w:val="22"/>
          <w:szCs w:val="22"/>
        </w:rPr>
        <w:t xml:space="preserve">description: 'test1' — human-readable proposal description</w:t>
      </w:r>
    </w:p>
    <w:p>
      <w:pPr>
        <w:spacing w:after="120" w:before="0"/>
      </w:pPr>
      <w:r>
        <w:rPr>
          <w:sz w:val="22"/>
          <w:szCs w:val="22"/>
        </w:rPr>
        <w:t xml:space="preserve"/>
      </w:r>
    </w:p>
    <w:p>
      <w:pPr>
        <w:spacing w:after="120" w:before="40"/>
      </w:pPr>
      <w:r>
        <w:rPr>
          <w:rFonts w:ascii="Calibri" w:cs="Calibri" w:eastAsia="Calibri" w:hAnsi="Calibri"/>
          <w:color w:val="0F172A"/>
          <w:sz w:val="22"/>
          <w:szCs w:val="22"/>
        </w:rPr>
        <w:t xml:space="preserve">Source verification enables any user to inspect the exact Solidity source code, compiler settings, and ABI directly on Arbiscan, confirming no discrepancy between the deployed bytecode and the open-source GitHub repository.</w:t>
      </w:r>
    </w:p>
    <w:p>
      <w:pPr>
        <w:spacing w:after="120" w:before="0"/>
      </w:pPr>
      <w:r>
        <w:rPr>
          <w:sz w:val="22"/>
          <w:szCs w:val="22"/>
        </w:rPr>
        <w:t xml:space="preserve"/>
      </w:r>
    </w:p>
    <w:p>
      <w:r>
        <w:br w:type="page"/>
      </w:r>
    </w:p>
    <w:p>
      <w:pPr>
        <w:pStyle w:val="Heading1"/>
        <w:pBdr>
          <w:bottom w:val="single" w:color="1D4ED8" w:sz="4" w:space="6"/>
        </w:pBdr>
        <w:spacing w:after="200" w:before="480"/>
      </w:pPr>
      <w:r>
        <w:rPr>
          <w:rFonts w:ascii="Calibri" w:cs="Calibri" w:eastAsia="Calibri" w:hAnsi="Calibri"/>
          <w:b/>
          <w:bCs/>
          <w:color w:val="1D4ED8"/>
          <w:sz w:val="40"/>
          <w:szCs w:val="40"/>
        </w:rPr>
        <w:t xml:space="preserve">7. Design Patterns &amp; Architectural Decisions</w:t>
      </w:r>
    </w:p>
    <w:p>
      <w:pPr>
        <w:pStyle w:val="Heading2"/>
        <w:spacing w:after="140" w:before="320"/>
      </w:pPr>
      <w:r>
        <w:rPr>
          <w:rFonts w:ascii="Calibri" w:cs="Calibri" w:eastAsia="Calibri" w:hAnsi="Calibri"/>
          <w:b/>
          <w:bCs/>
          <w:color w:val="0F172A"/>
          <w:sz w:val="30"/>
          <w:szCs w:val="30"/>
        </w:rPr>
        <w:t xml:space="preserve">7.1 Patterns Implemented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160"/>
            <w:gridSpan w:val="1"/>
            <w:tcBorders>
              <w:top w:val="single" w:color="1D4ED8" w:sz="4"/>
              <w:left w:val="single" w:color="1D4ED8" w:sz="4"/>
              <w:bottom w:val="single" w:color="1D4ED8" w:sz="4"/>
              <w:right w:val="single" w:color="1D4ED8" w:sz="4"/>
            </w:tcBorders>
            <w:shd w:fill="1D4ED8" w:val="clear"/>
            <w:tcMar>
              <w:top w:type="dxa" w:w="80"/>
              <w:left w:type="dxa" w:w="120"/>
              <w:bottom w:type="dxa" w:w="80"/>
              <w:right w:type="dxa" w:w="120"/>
            </w:tcMar>
          </w:tcPr>
          <w:p>
            <w:r>
              <w:rPr>
                <w:rFonts w:ascii="Calibri" w:cs="Calibri" w:eastAsia="Calibri" w:hAnsi="Calibri"/>
                <w:b/>
                <w:bCs/>
                <w:color w:val="FFFFFF"/>
                <w:sz w:val="20"/>
                <w:szCs w:val="20"/>
              </w:rPr>
              <w:t xml:space="preserve">Pattern</w:t>
            </w:r>
          </w:p>
        </w:tc>
        <w:tc>
          <w:tcPr>
            <w:tcW w:type="dxa" w:w="2160"/>
            <w:gridSpan w:val="1"/>
            <w:tcBorders>
              <w:top w:val="single" w:color="1D4ED8" w:sz="4"/>
              <w:left w:val="single" w:color="1D4ED8" w:sz="4"/>
              <w:bottom w:val="single" w:color="1D4ED8" w:sz="4"/>
              <w:right w:val="single" w:color="1D4ED8" w:sz="4"/>
            </w:tcBorders>
            <w:shd w:fill="1D4ED8" w:val="clear"/>
            <w:tcMar>
              <w:top w:type="dxa" w:w="80"/>
              <w:left w:type="dxa" w:w="120"/>
              <w:bottom w:type="dxa" w:w="80"/>
              <w:right w:type="dxa" w:w="120"/>
            </w:tcMar>
          </w:tcPr>
          <w:p>
            <w:r>
              <w:rPr>
                <w:rFonts w:ascii="Calibri" w:cs="Calibri" w:eastAsia="Calibri" w:hAnsi="Calibri"/>
                <w:b/>
                <w:bCs/>
                <w:color w:val="FFFFFF"/>
                <w:sz w:val="20"/>
                <w:szCs w:val="20"/>
              </w:rPr>
              <w:t xml:space="preserve">Location</w:t>
            </w:r>
          </w:p>
        </w:tc>
        <w:tc>
          <w:tcPr>
            <w:tcW w:type="dxa" w:w="5040"/>
            <w:gridSpan w:val="1"/>
            <w:tcBorders>
              <w:top w:val="single" w:color="1D4ED8" w:sz="4"/>
              <w:left w:val="single" w:color="1D4ED8" w:sz="4"/>
              <w:bottom w:val="single" w:color="1D4ED8" w:sz="4"/>
              <w:right w:val="single" w:color="1D4ED8" w:sz="4"/>
            </w:tcBorders>
            <w:shd w:fill="1D4ED8" w:val="clear"/>
            <w:tcMar>
              <w:top w:type="dxa" w:w="80"/>
              <w:left w:type="dxa" w:w="120"/>
              <w:bottom w:type="dxa" w:w="80"/>
              <w:right w:type="dxa" w:w="120"/>
            </w:tcMar>
          </w:tcPr>
          <w:p>
            <w:r>
              <w:rPr>
                <w:rFonts w:ascii="Calibri" w:cs="Calibri" w:eastAsia="Calibri" w:hAnsi="Calibri"/>
                <w:b/>
                <w:bCs/>
                <w:color w:val="FFFFFF"/>
                <w:sz w:val="20"/>
                <w:szCs w:val="20"/>
              </w:rPr>
              <w:t xml:space="preserve">Purpose &amp; Implementation</w:t>
            </w:r>
          </w:p>
        </w:tc>
      </w:tr>
      <w:tr>
        <w:tc>
          <w:tcPr>
            <w:tcW w:type="dxa" w:w="216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bCs/>
                <w:color w:val="1D4ED8"/>
                <w:sz w:val="19"/>
                <w:szCs w:val="19"/>
              </w:rPr>
              <w:t xml:space="preserve">Factory</w:t>
            </w:r>
          </w:p>
        </w:tc>
        <w:tc>
          <w:tcPr>
            <w:tcW w:type="dxa" w:w="216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GameFactory.sol</w:t>
            </w:r>
          </w:p>
        </w:tc>
        <w:tc>
          <w:tcPr>
            <w:tcW w:type="dxa" w:w="504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CREATE deploys GameItems/GameAMM. CREATE2 enables deterministic addresses. predictGameItemsAddress() computes address off-chain.</w:t>
            </w:r>
          </w:p>
        </w:tc>
      </w:tr>
      <w:tr>
        <w:tc>
          <w:tcPr>
            <w:tcW w:type="dxa" w:w="216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bCs/>
                <w:color w:val="1D4ED8"/>
                <w:sz w:val="19"/>
                <w:szCs w:val="19"/>
              </w:rPr>
              <w:t xml:space="preserve">UUPS Proxy</w:t>
            </w:r>
          </w:p>
        </w:tc>
        <w:tc>
          <w:tcPr>
            <w:tcW w:type="dxa" w:w="216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GameItems.sol</w:t>
            </w:r>
          </w:p>
        </w:tc>
        <w:tc>
          <w:tcPr>
            <w:tcW w:type="dxa" w:w="504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Upgrade logic inside implementation (gas-efficient). _authorizeUpgrade restricted to UPGRADER_ROLE. Storage layout preserved across V1→V2.</w:t>
            </w:r>
          </w:p>
        </w:tc>
      </w:tr>
      <w:tr>
        <w:tc>
          <w:tcPr>
            <w:tcW w:type="dxa" w:w="216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bCs/>
                <w:color w:val="1D4ED8"/>
                <w:sz w:val="19"/>
                <w:szCs w:val="19"/>
              </w:rPr>
              <w:t xml:space="preserve">CEI Pattern</w:t>
            </w:r>
          </w:p>
        </w:tc>
        <w:tc>
          <w:tcPr>
            <w:tcW w:type="dxa" w:w="216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All contracts</w:t>
            </w:r>
          </w:p>
        </w:tc>
        <w:tc>
          <w:tcPr>
            <w:tcW w:type="dxa" w:w="504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Checks (validation) → Effects (state changes) → Interactions (external calls). No state changes after external calls.</w:t>
            </w:r>
          </w:p>
        </w:tc>
      </w:tr>
      <w:tr>
        <w:tc>
          <w:tcPr>
            <w:tcW w:type="dxa" w:w="216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bCs/>
                <w:color w:val="1D4ED8"/>
                <w:sz w:val="19"/>
                <w:szCs w:val="19"/>
              </w:rPr>
              <w:t xml:space="preserve">Pull-over-Push</w:t>
            </w:r>
          </w:p>
        </w:tc>
        <w:tc>
          <w:tcPr>
            <w:tcW w:type="dxa" w:w="216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NFTRentalVault</w:t>
            </w:r>
          </w:p>
        </w:tc>
        <w:tc>
          <w:tcPr>
            <w:tcW w:type="dxa" w:w="504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Rental yield accumulated in contract. Owner explicitly calls claimYield() to withdraw. Prevents push-payment reentrancy.</w:t>
            </w:r>
          </w:p>
        </w:tc>
      </w:tr>
      <w:tr>
        <w:tc>
          <w:tcPr>
            <w:tcW w:type="dxa" w:w="216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bCs/>
                <w:color w:val="1D4ED8"/>
                <w:sz w:val="19"/>
                <w:szCs w:val="19"/>
              </w:rPr>
              <w:t xml:space="preserve">Oracle Adapter</w:t>
            </w:r>
          </w:p>
        </w:tc>
        <w:tc>
          <w:tcPr>
            <w:tcW w:type="dxa" w:w="216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GameVault</w:t>
            </w:r>
          </w:p>
        </w:tc>
        <w:tc>
          <w:tcPr>
            <w:tcW w:type="dxa" w:w="504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AggregatorV3Interface abstraction with staleness check and negative price guard. AMM uses reserves (not oracle).</w:t>
            </w:r>
          </w:p>
        </w:tc>
      </w:tr>
      <w:tr>
        <w:tc>
          <w:tcPr>
            <w:tcW w:type="dxa" w:w="216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bCs/>
                <w:color w:val="1D4ED8"/>
                <w:sz w:val="19"/>
                <w:szCs w:val="19"/>
              </w:rPr>
              <w:t xml:space="preserve">Reentrancy Guard</w:t>
            </w:r>
          </w:p>
        </w:tc>
        <w:tc>
          <w:tcPr>
            <w:tcW w:type="dxa" w:w="216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AMM, Vault, Rental</w:t>
            </w:r>
          </w:p>
        </w:tc>
        <w:tc>
          <w:tcPr>
            <w:tcW w:type="dxa" w:w="504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nonReentrant modifier on all external state-changing functions. Additional CEI enforcement at logic level.</w:t>
            </w:r>
          </w:p>
        </w:tc>
      </w:tr>
      <w:tr>
        <w:tc>
          <w:tcPr>
            <w:tcW w:type="dxa" w:w="216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bCs/>
                <w:color w:val="1D4ED8"/>
                <w:sz w:val="19"/>
                <w:szCs w:val="19"/>
              </w:rPr>
              <w:t xml:space="preserve">Timelock</w:t>
            </w:r>
          </w:p>
        </w:tc>
        <w:tc>
          <w:tcPr>
            <w:tcW w:type="dxa" w:w="216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TimelockController</w:t>
            </w:r>
          </w:p>
        </w:tc>
        <w:tc>
          <w:tcPr>
            <w:tcW w:type="dxa" w:w="504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2-day mandatory delay on all governance actions. No instant parameter changes possible once Timelock holds admin roles.</w:t>
            </w:r>
          </w:p>
        </w:tc>
      </w:tr>
    </w:tbl>
    <w:p>
      <w:pPr>
        <w:spacing w:after="120" w:before="0"/>
      </w:pPr>
      <w:r>
        <w:rPr>
          <w:sz w:val="22"/>
          <w:szCs w:val="22"/>
        </w:rPr>
        <w:t xml:space="preserve"/>
      </w:r>
    </w:p>
    <w:p>
      <w:r>
        <w:br w:type="page"/>
      </w:r>
    </w:p>
    <w:p>
      <w:pPr>
        <w:pStyle w:val="Heading1"/>
        <w:pBdr>
          <w:bottom w:val="single" w:color="1D4ED8" w:sz="4" w:space="6"/>
        </w:pBdr>
        <w:spacing w:after="200" w:before="480"/>
      </w:pPr>
      <w:r>
        <w:rPr>
          <w:rFonts w:ascii="Calibri" w:cs="Calibri" w:eastAsia="Calibri" w:hAnsi="Calibri"/>
          <w:b/>
          <w:bCs/>
          <w:color w:val="1D4ED8"/>
          <w:sz w:val="40"/>
          <w:szCs w:val="40"/>
        </w:rPr>
        <w:t xml:space="preserve">8. Deployed Contract Addresses</w:t>
      </w:r>
    </w:p>
    <w:p>
      <w:pPr>
        <w:spacing w:after="120" w:before="40"/>
      </w:pPr>
      <w:r>
        <w:rPr>
          <w:rFonts w:ascii="Calibri" w:cs="Calibri" w:eastAsia="Calibri" w:hAnsi="Calibri"/>
          <w:color w:val="0F172A"/>
          <w:sz w:val="22"/>
          <w:szCs w:val="22"/>
        </w:rPr>
        <w:t xml:space="preserve">All contracts are deployed on Arbitrum Sepolia (Chain ID: 421614) and source-verified on Arbiscan. Addresses verified from GitHub repository (Heb1ks/BlockFINAL2-, branch: test-and-deploy):</w:t>
      </w:r>
    </w:p>
    <w:p>
      <w:pPr>
        <w:spacing w:after="12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600"/>
            <w:gridSpan w:val="1"/>
            <w:tcBorders>
              <w:top w:val="single" w:color="1D4ED8" w:sz="4"/>
              <w:left w:val="single" w:color="1D4ED8" w:sz="4"/>
              <w:bottom w:val="single" w:color="1D4ED8" w:sz="4"/>
              <w:right w:val="single" w:color="1D4ED8" w:sz="4"/>
            </w:tcBorders>
            <w:shd w:fill="1D4ED8" w:val="clear"/>
            <w:tcMar>
              <w:top w:type="dxa" w:w="80"/>
              <w:left w:type="dxa" w:w="120"/>
              <w:bottom w:type="dxa" w:w="80"/>
              <w:right w:type="dxa" w:w="120"/>
            </w:tcMar>
          </w:tcPr>
          <w:p>
            <w:r>
              <w:rPr>
                <w:rFonts w:ascii="Calibri" w:cs="Calibri" w:eastAsia="Calibri" w:hAnsi="Calibri"/>
                <w:b/>
                <w:bCs/>
                <w:color w:val="FFFFFF"/>
                <w:sz w:val="20"/>
                <w:szCs w:val="20"/>
              </w:rPr>
              <w:t xml:space="preserve">Contract</w:t>
            </w:r>
          </w:p>
        </w:tc>
        <w:tc>
          <w:tcPr>
            <w:tcW w:type="dxa" w:w="4680"/>
            <w:gridSpan w:val="1"/>
            <w:tcBorders>
              <w:top w:val="single" w:color="1D4ED8" w:sz="4"/>
              <w:left w:val="single" w:color="1D4ED8" w:sz="4"/>
              <w:bottom w:val="single" w:color="1D4ED8" w:sz="4"/>
              <w:right w:val="single" w:color="1D4ED8" w:sz="4"/>
            </w:tcBorders>
            <w:shd w:fill="1D4ED8" w:val="clear"/>
            <w:tcMar>
              <w:top w:type="dxa" w:w="80"/>
              <w:left w:type="dxa" w:w="120"/>
              <w:bottom w:type="dxa" w:w="80"/>
              <w:right w:type="dxa" w:w="120"/>
            </w:tcMar>
          </w:tcPr>
          <w:p>
            <w:r>
              <w:rPr>
                <w:rFonts w:ascii="Calibri" w:cs="Calibri" w:eastAsia="Calibri" w:hAnsi="Calibri"/>
                <w:b/>
                <w:bCs/>
                <w:color w:val="FFFFFF"/>
                <w:sz w:val="20"/>
                <w:szCs w:val="20"/>
              </w:rPr>
              <w:t xml:space="preserve">Address</w:t>
            </w:r>
          </w:p>
        </w:tc>
        <w:tc>
          <w:tcPr>
            <w:tcW w:type="dxa" w:w="1080"/>
            <w:gridSpan w:val="1"/>
            <w:tcBorders>
              <w:top w:val="single" w:color="1D4ED8" w:sz="4"/>
              <w:left w:val="single" w:color="1D4ED8" w:sz="4"/>
              <w:bottom w:val="single" w:color="1D4ED8" w:sz="4"/>
              <w:right w:val="single" w:color="1D4ED8" w:sz="4"/>
            </w:tcBorders>
            <w:shd w:fill="1D4ED8" w:val="clear"/>
            <w:tcMar>
              <w:top w:type="dxa" w:w="80"/>
              <w:left w:type="dxa" w:w="120"/>
              <w:bottom w:type="dxa" w:w="80"/>
              <w:right w:type="dxa" w:w="120"/>
            </w:tcMar>
          </w:tcPr>
          <w:p>
            <w:r>
              <w:rPr>
                <w:rFonts w:ascii="Calibri" w:cs="Calibri" w:eastAsia="Calibri" w:hAnsi="Calibri"/>
                <w:b/>
                <w:bCs/>
                <w:color w:val="FFFFFF"/>
                <w:sz w:val="20"/>
                <w:szCs w:val="20"/>
              </w:rPr>
              <w:t xml:space="preserve">✓</w:t>
            </w:r>
          </w:p>
        </w:tc>
      </w:tr>
      <w:tr>
        <w:tc>
          <w:tcPr>
            <w:tcW w:type="dxa" w:w="360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bCs/>
                <w:color w:val="1D4ED8"/>
                <w:sz w:val="19"/>
                <w:szCs w:val="19"/>
              </w:rPr>
              <w:t xml:space="preserve">GameToken (ERC-20 governance)</w:t>
            </w:r>
          </w:p>
        </w:tc>
        <w:tc>
          <w:tcPr>
            <w:tcW w:type="dxa" w:w="468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0x407a5Da64E3fc9FF202b76355d0FC0F34390c41A</w:t>
            </w:r>
          </w:p>
        </w:tc>
        <w:tc>
          <w:tcPr>
            <w:tcW w:type="dxa" w:w="108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bCs/>
                <w:color w:val="15803D"/>
                <w:sz w:val="19"/>
                <w:szCs w:val="19"/>
              </w:rPr>
              <w:t xml:space="preserve">✓</w:t>
            </w:r>
          </w:p>
        </w:tc>
      </w:tr>
      <w:tr>
        <w:tc>
          <w:tcPr>
            <w:tcW w:type="dxa" w:w="36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bCs/>
                <w:color w:val="1D4ED8"/>
                <w:sz w:val="19"/>
                <w:szCs w:val="19"/>
              </w:rPr>
              <w:t xml:space="preserve">GameItems proxy (ERC-1155 UUPS)</w:t>
            </w:r>
          </w:p>
        </w:tc>
        <w:tc>
          <w:tcPr>
            <w:tcW w:type="dxa" w:w="468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0xd38cA79ADFc7300A95adaAc16A5F543c205eBf64</w:t>
            </w:r>
          </w:p>
        </w:tc>
        <w:tc>
          <w:tcPr>
            <w:tcW w:type="dxa" w:w="108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bCs/>
                <w:color w:val="15803D"/>
                <w:sz w:val="19"/>
                <w:szCs w:val="19"/>
              </w:rPr>
              <w:t xml:space="preserve">✓</w:t>
            </w:r>
          </w:p>
        </w:tc>
      </w:tr>
      <w:tr>
        <w:tc>
          <w:tcPr>
            <w:tcW w:type="dxa" w:w="360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bCs/>
                <w:color w:val="1D4ED8"/>
                <w:sz w:val="19"/>
                <w:szCs w:val="19"/>
              </w:rPr>
              <w:t xml:space="preserve">GameFactory</w:t>
            </w:r>
          </w:p>
        </w:tc>
        <w:tc>
          <w:tcPr>
            <w:tcW w:type="dxa" w:w="468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0x545901c94Ce4bCB7960CeCB69C8b3C505Fcdd836</w:t>
            </w:r>
          </w:p>
        </w:tc>
        <w:tc>
          <w:tcPr>
            <w:tcW w:type="dxa" w:w="108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bCs/>
                <w:color w:val="15803D"/>
                <w:sz w:val="19"/>
                <w:szCs w:val="19"/>
              </w:rPr>
              <w:t xml:space="preserve">✓</w:t>
            </w:r>
          </w:p>
        </w:tc>
      </w:tr>
      <w:tr>
        <w:tc>
          <w:tcPr>
            <w:tcW w:type="dxa" w:w="36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bCs/>
                <w:color w:val="1D4ED8"/>
                <w:sz w:val="19"/>
                <w:szCs w:val="19"/>
              </w:rPr>
              <w:t xml:space="preserve">TimelockController (2-day delay)</w:t>
            </w:r>
          </w:p>
        </w:tc>
        <w:tc>
          <w:tcPr>
            <w:tcW w:type="dxa" w:w="468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0x1ABA8B2a61196EDDd50C4456733D63Ff5f6139e0</w:t>
            </w:r>
          </w:p>
        </w:tc>
        <w:tc>
          <w:tcPr>
            <w:tcW w:type="dxa" w:w="108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bCs/>
                <w:color w:val="15803D"/>
                <w:sz w:val="19"/>
                <w:szCs w:val="19"/>
              </w:rPr>
              <w:t xml:space="preserve">✓</w:t>
            </w:r>
          </w:p>
        </w:tc>
      </w:tr>
      <w:tr>
        <w:tc>
          <w:tcPr>
            <w:tcW w:type="dxa" w:w="360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bCs/>
                <w:color w:val="1D4ED8"/>
                <w:sz w:val="19"/>
                <w:szCs w:val="19"/>
              </w:rPr>
              <w:t xml:space="preserve">GameDAO (Governor)</w:t>
            </w:r>
          </w:p>
        </w:tc>
        <w:tc>
          <w:tcPr>
            <w:tcW w:type="dxa" w:w="468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0xCb0aD118Fc15313305d138097A2E6AE21706A59C</w:t>
            </w:r>
          </w:p>
        </w:tc>
        <w:tc>
          <w:tcPr>
            <w:tcW w:type="dxa" w:w="108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bCs/>
                <w:color w:val="15803D"/>
                <w:sz w:val="19"/>
                <w:szCs w:val="19"/>
              </w:rPr>
              <w:t xml:space="preserve">✓</w:t>
            </w:r>
          </w:p>
        </w:tc>
      </w:tr>
      <w:tr>
        <w:tc>
          <w:tcPr>
            <w:tcW w:type="dxa" w:w="36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bCs/>
                <w:color w:val="1D4ED8"/>
                <w:sz w:val="19"/>
                <w:szCs w:val="19"/>
              </w:rPr>
              <w:t xml:space="preserve">GameAMM (x·y=k, 0.3% fee)</w:t>
            </w:r>
          </w:p>
        </w:tc>
        <w:tc>
          <w:tcPr>
            <w:tcW w:type="dxa" w:w="468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0xFf494842f23dbad3b478CDe35486e101cD880AF9</w:t>
            </w:r>
          </w:p>
        </w:tc>
        <w:tc>
          <w:tcPr>
            <w:tcW w:type="dxa" w:w="108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bCs/>
                <w:color w:val="15803D"/>
                <w:sz w:val="19"/>
                <w:szCs w:val="19"/>
              </w:rPr>
              <w:t xml:space="preserve">✓</w:t>
            </w:r>
          </w:p>
        </w:tc>
      </w:tr>
      <w:tr>
        <w:tc>
          <w:tcPr>
            <w:tcW w:type="dxa" w:w="360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bCs/>
                <w:color w:val="1D4ED8"/>
                <w:sz w:val="19"/>
                <w:szCs w:val="19"/>
              </w:rPr>
              <w:t xml:space="preserve">GameVault (ERC-4626)</w:t>
            </w:r>
          </w:p>
        </w:tc>
        <w:tc>
          <w:tcPr>
            <w:tcW w:type="dxa" w:w="468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0xCB082d44E32f27D30C54c28F947A8C54fDFb6de8</w:t>
            </w:r>
          </w:p>
        </w:tc>
        <w:tc>
          <w:tcPr>
            <w:tcW w:type="dxa" w:w="108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bCs/>
                <w:color w:val="15803D"/>
                <w:sz w:val="19"/>
                <w:szCs w:val="19"/>
              </w:rPr>
              <w:t xml:space="preserve">✓</w:t>
            </w:r>
          </w:p>
        </w:tc>
      </w:tr>
      <w:tr>
        <w:tc>
          <w:tcPr>
            <w:tcW w:type="dxa" w:w="36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bCs/>
                <w:color w:val="1D4ED8"/>
                <w:sz w:val="19"/>
                <w:szCs w:val="19"/>
              </w:rPr>
              <w:t xml:space="preserve">NFTRentalVault</w:t>
            </w:r>
          </w:p>
        </w:tc>
        <w:tc>
          <w:tcPr>
            <w:tcW w:type="dxa" w:w="468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0x476016df3bE27D697aB1494922Ac5352B936BcbF</w:t>
            </w:r>
          </w:p>
        </w:tc>
        <w:tc>
          <w:tcPr>
            <w:tcW w:type="dxa" w:w="108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bCs/>
                <w:color w:val="15803D"/>
                <w:sz w:val="19"/>
                <w:szCs w:val="19"/>
              </w:rPr>
              <w:t xml:space="preserve">✓</w:t>
            </w:r>
          </w:p>
        </w:tc>
      </w:tr>
      <w:tr>
        <w:tc>
          <w:tcPr>
            <w:tcW w:type="dxa" w:w="360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bCs/>
                <w:color w:val="1D4ED8"/>
                <w:sz w:val="19"/>
                <w:szCs w:val="19"/>
              </w:rPr>
              <w:t xml:space="preserve">LootDrop (Chainlink VRF)</w:t>
            </w:r>
          </w:p>
        </w:tc>
        <w:tc>
          <w:tcPr>
            <w:tcW w:type="dxa" w:w="468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0xD1d24f55107c7ee9FDE319502d8Bca9fe1bB288c</w:t>
            </w:r>
          </w:p>
        </w:tc>
        <w:tc>
          <w:tcPr>
            <w:tcW w:type="dxa" w:w="108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bCs/>
                <w:color w:val="15803D"/>
                <w:sz w:val="19"/>
                <w:szCs w:val="19"/>
              </w:rPr>
              <w:t xml:space="preserve">✓</w:t>
            </w:r>
          </w:p>
        </w:tc>
      </w:tr>
    </w:tbl>
    <w:p>
      <w:pPr>
        <w:spacing w:after="120" w:before="0"/>
      </w:pPr>
      <w:r>
        <w:rPr>
          <w:sz w:val="22"/>
          <w:szCs w:val="22"/>
        </w:rPr>
        <w:t xml:space="preserve"/>
      </w:r>
    </w:p>
    <w:p>
      <w:pPr>
        <w:pBdr>
          <w:left w:val="thick" w:color="15803D" w:sz="12" w:space="8"/>
        </w:pBdr>
        <w:spacing w:after="100" w:before="100"/>
        <w:ind w:left="360" w:right="360"/>
      </w:pPr>
      <w:r>
        <w:rPr>
          <w:rFonts w:ascii="Calibri" w:cs="Calibri" w:eastAsia="Calibri" w:hAnsi="Calibri"/>
          <w:b/>
          <w:bCs/>
          <w:color w:val="15803D"/>
          <w:sz w:val="22"/>
          <w:szCs w:val="22"/>
        </w:rPr>
        <w:t xml:space="preserve">Verification: </w:t>
      </w:r>
      <w:r>
        <w:rPr>
          <w:rFonts w:ascii="Calibri" w:cs="Calibri" w:eastAsia="Calibri" w:hAnsi="Calibri"/>
          <w:color w:val="0F172A"/>
          <w:sz w:val="22"/>
          <w:szCs w:val="22"/>
        </w:rPr>
        <w:t xml:space="preserve">All contracts source-verified — sepolia.arbiscan.io · Deployment script: script/Deploy.s.sol</w:t>
      </w:r>
    </w:p>
    <w:p>
      <w:pPr>
        <w:spacing w:after="120" w:before="0"/>
      </w:pPr>
      <w:r>
        <w:rPr>
          <w:sz w:val="22"/>
          <w:szCs w:val="22"/>
        </w:rPr>
        <w:t xml:space="preserve"/>
      </w:r>
    </w:p>
    <w:p>
      <w:r>
        <w:br w:type="page"/>
      </w:r>
    </w:p>
    <w:p>
      <w:pPr>
        <w:pStyle w:val="Heading1"/>
        <w:pBdr>
          <w:bottom w:val="single" w:color="1D4ED8" w:sz="4" w:space="6"/>
        </w:pBdr>
        <w:spacing w:after="200" w:before="480"/>
      </w:pPr>
      <w:r>
        <w:rPr>
          <w:rFonts w:ascii="Calibri" w:cs="Calibri" w:eastAsia="Calibri" w:hAnsi="Calibri"/>
          <w:b/>
          <w:bCs/>
          <w:color w:val="1D4ED8"/>
          <w:sz w:val="40"/>
          <w:szCs w:val="40"/>
        </w:rPr>
        <w:t xml:space="preserve">9. Conclusion &amp; Future Improvements</w:t>
      </w:r>
    </w:p>
    <w:p>
      <w:pPr>
        <w:pStyle w:val="Heading2"/>
        <w:spacing w:after="140" w:before="320"/>
      </w:pPr>
      <w:r>
        <w:rPr>
          <w:rFonts w:ascii="Calibri" w:cs="Calibri" w:eastAsia="Calibri" w:hAnsi="Calibri"/>
          <w:b/>
          <w:bCs/>
          <w:color w:val="0F172A"/>
          <w:sz w:val="30"/>
          <w:szCs w:val="30"/>
        </w:rPr>
        <w:t xml:space="preserve">9.1 Summary of Achievements</w:t>
      </w:r>
    </w:p>
    <w:p>
      <w:pPr>
        <w:spacing w:after="120" w:before="40"/>
      </w:pPr>
      <w:r>
        <w:rPr>
          <w:rFonts w:ascii="Calibri" w:cs="Calibri" w:eastAsia="Calibri" w:hAnsi="Calibri"/>
          <w:color w:val="0F172A"/>
          <w:sz w:val="22"/>
          <w:szCs w:val="22"/>
        </w:rPr>
        <w:t xml:space="preserve">The GameFi Economy Protocol successfully delivers a production-grade decentralized gaming economy on Arbitrum Sepolia, meeting and exceeding all specified project requirements:</w:t>
      </w:r>
    </w:p>
    <w:p>
      <w:pPr>
        <w:spacing w:after="120" w:before="0"/>
      </w:pPr>
      <w:r>
        <w:rPr>
          <w:sz w:val="22"/>
          <w:szCs w:val="22"/>
        </w:rPr>
        <w:t xml:space="preserve"/>
      </w:r>
    </w:p>
    <w:p>
      <w:pPr>
        <w:pStyle w:val="ListParagraph"/>
        <w:numPr>
          <w:ilvl w:val="0"/>
          <w:numId w:val="2"/>
        </w:numPr>
        <w:spacing w:after="60" w:before="30"/>
      </w:pPr>
      <w:r>
        <w:rPr>
          <w:rFonts w:ascii="Calibri" w:cs="Calibri" w:eastAsia="Calibri" w:hAnsi="Calibri"/>
          <w:color w:val="0F172A"/>
          <w:sz w:val="22"/>
          <w:szCs w:val="22"/>
        </w:rPr>
        <w:t xml:space="preserve">10 smart contracts deployed and verified — covering all required standards (ERC-20, ERC-1155, ERC-4626, AMM, VRF, Governor, Timelock, Factory, UUPS)</w:t>
      </w:r>
    </w:p>
    <w:p>
      <w:pPr>
        <w:pStyle w:val="ListParagraph"/>
        <w:numPr>
          <w:ilvl w:val="0"/>
          <w:numId w:val="2"/>
        </w:numPr>
        <w:spacing w:after="60" w:before="30"/>
      </w:pPr>
      <w:r>
        <w:rPr>
          <w:rFonts w:ascii="Calibri" w:cs="Calibri" w:eastAsia="Calibri" w:hAnsi="Calibri"/>
          <w:color w:val="0F172A"/>
          <w:sz w:val="22"/>
          <w:szCs w:val="22"/>
        </w:rPr>
        <w:t xml:space="preserve">133 tests total (110+ unit, 16 fuzz, 5 invariant, 3 fork) — all passing, zero failures</w:t>
      </w:r>
    </w:p>
    <w:p>
      <w:pPr>
        <w:pStyle w:val="ListParagraph"/>
        <w:numPr>
          <w:ilvl w:val="0"/>
          <w:numId w:val="2"/>
        </w:numPr>
        <w:spacing w:after="60" w:before="30"/>
      </w:pPr>
      <w:r>
        <w:rPr>
          <w:rFonts w:ascii="Calibri" w:cs="Calibri" w:eastAsia="Calibri" w:hAnsi="Calibri"/>
          <w:color w:val="0F172A"/>
          <w:sz w:val="22"/>
          <w:szCs w:val="22"/>
        </w:rPr>
        <w:t xml:space="preserve">Zero High and zero Medium security findings — Slither clean, ReentrancyGuard, CEI, SafeERC20 throughout</w:t>
      </w:r>
    </w:p>
    <w:p>
      <w:pPr>
        <w:pStyle w:val="ListParagraph"/>
        <w:numPr>
          <w:ilvl w:val="0"/>
          <w:numId w:val="2"/>
        </w:numPr>
        <w:spacing w:after="60" w:before="30"/>
      </w:pPr>
      <w:r>
        <w:rPr>
          <w:rFonts w:ascii="Calibri" w:cs="Calibri" w:eastAsia="Calibri" w:hAnsi="Calibri"/>
          <w:color w:val="0F172A"/>
          <w:sz w:val="22"/>
          <w:szCs w:val="22"/>
        </w:rPr>
        <w:t xml:space="preserve">Yul assembly optimizations delivering 18–26% gas savings on critical AMM functions</w:t>
      </w:r>
    </w:p>
    <w:p>
      <w:pPr>
        <w:pStyle w:val="ListParagraph"/>
        <w:numPr>
          <w:ilvl w:val="0"/>
          <w:numId w:val="2"/>
        </w:numPr>
        <w:spacing w:after="60" w:before="30"/>
      </w:pPr>
      <w:r>
        <w:rPr>
          <w:rFonts w:ascii="Calibri" w:cs="Calibri" w:eastAsia="Calibri" w:hAnsi="Calibri"/>
          <w:color w:val="0F172A"/>
          <w:sz w:val="22"/>
          <w:szCs w:val="22"/>
        </w:rPr>
        <w:t xml:space="preserve">Chainlink VRF v2 active subscription with 5 LINK funded and 4 fulfillments completed</w:t>
      </w:r>
    </w:p>
    <w:p>
      <w:pPr>
        <w:pStyle w:val="ListParagraph"/>
        <w:numPr>
          <w:ilvl w:val="0"/>
          <w:numId w:val="2"/>
        </w:numPr>
        <w:spacing w:after="60" w:before="30"/>
      </w:pPr>
      <w:r>
        <w:rPr>
          <w:rFonts w:ascii="Calibri" w:cs="Calibri" w:eastAsia="Calibri" w:hAnsi="Calibri"/>
          <w:color w:val="0F172A"/>
          <w:sz w:val="22"/>
          <w:szCs w:val="22"/>
        </w:rPr>
        <w:t xml:space="preserve">The Graph subgraph fully deployed and synced (v0.0.5, 9 entities, 100% progress)</w:t>
      </w:r>
    </w:p>
    <w:p>
      <w:pPr>
        <w:pStyle w:val="ListParagraph"/>
        <w:numPr>
          <w:ilvl w:val="0"/>
          <w:numId w:val="2"/>
        </w:numPr>
        <w:spacing w:after="60" w:before="30"/>
      </w:pPr>
      <w:r>
        <w:rPr>
          <w:rFonts w:ascii="Calibri" w:cs="Calibri" w:eastAsia="Calibri" w:hAnsi="Calibri"/>
          <w:color w:val="0F172A"/>
          <w:sz w:val="22"/>
          <w:szCs w:val="22"/>
        </w:rPr>
        <w:t xml:space="preserve">7 distinct design patterns implemented and documented</w:t>
      </w:r>
    </w:p>
    <w:p>
      <w:pPr>
        <w:pStyle w:val="ListParagraph"/>
        <w:numPr>
          <w:ilvl w:val="0"/>
          <w:numId w:val="2"/>
        </w:numPr>
        <w:spacing w:after="60" w:before="30"/>
      </w:pPr>
      <w:r>
        <w:rPr>
          <w:rFonts w:ascii="Calibri" w:cs="Calibri" w:eastAsia="Calibri" w:hAnsi="Calibri"/>
          <w:color w:val="0F172A"/>
          <w:sz w:val="22"/>
          <w:szCs w:val="22"/>
        </w:rPr>
        <w:t xml:space="preserve">All contracts Arbiscan-verified with public source code</w:t>
      </w:r>
    </w:p>
    <w:p>
      <w:pPr>
        <w:spacing w:after="120" w:before="0"/>
      </w:pPr>
      <w:r>
        <w:rPr>
          <w:sz w:val="22"/>
          <w:szCs w:val="22"/>
        </w:rPr>
        <w:t xml:space="preserve"/>
      </w:r>
    </w:p>
    <w:p>
      <w:pPr>
        <w:pStyle w:val="Heading2"/>
        <w:spacing w:after="140" w:before="320"/>
      </w:pPr>
      <w:r>
        <w:rPr>
          <w:rFonts w:ascii="Calibri" w:cs="Calibri" w:eastAsia="Calibri" w:hAnsi="Calibri"/>
          <w:b/>
          <w:bCs/>
          <w:color w:val="0F172A"/>
          <w:sz w:val="30"/>
          <w:szCs w:val="30"/>
        </w:rPr>
        <w:t xml:space="preserve">9.2 Limitations &amp; Production Considerations</w:t>
      </w:r>
    </w:p>
    <w:p>
      <w:pPr>
        <w:pStyle w:val="ListParagraph"/>
        <w:numPr>
          <w:ilvl w:val="0"/>
          <w:numId w:val="2"/>
        </w:numPr>
        <w:spacing w:after="60" w:before="30"/>
      </w:pPr>
      <w:r>
        <w:rPr>
          <w:rFonts w:ascii="Calibri" w:cs="Calibri" w:eastAsia="Calibri" w:hAnsi="Calibri"/>
          <w:color w:val="0F172A"/>
          <w:sz w:val="22"/>
          <w:szCs w:val="22"/>
        </w:rPr>
        <w:t xml:space="preserve">Testnet Deployment: The current deployment on Arbitrum Sepolia uses test ETH and LINK. Production deployment requires mainnet LINK funding and a security audit by a professional third-party firm.</w:t>
      </w:r>
    </w:p>
    <w:p>
      <w:pPr>
        <w:pStyle w:val="ListParagraph"/>
        <w:numPr>
          <w:ilvl w:val="0"/>
          <w:numId w:val="2"/>
        </w:numPr>
        <w:spacing w:after="60" w:before="30"/>
      </w:pPr>
      <w:r>
        <w:rPr>
          <w:rFonts w:ascii="Calibri" w:cs="Calibri" w:eastAsia="Calibri" w:hAnsi="Calibri"/>
          <w:color w:val="0F172A"/>
          <w:sz w:val="22"/>
          <w:szCs w:val="22"/>
        </w:rPr>
        <w:t xml:space="preserve">Centralization Risk (LOW-01): Deployer retains admin privileges until Timelock ownership transfer is confirmed on-chain. Production deployment must include verified multi-signature ownership transfer.</w:t>
      </w:r>
    </w:p>
    <w:p>
      <w:pPr>
        <w:pStyle w:val="ListParagraph"/>
        <w:numPr>
          <w:ilvl w:val="0"/>
          <w:numId w:val="2"/>
        </w:numPr>
        <w:spacing w:after="60" w:before="30"/>
      </w:pPr>
      <w:r>
        <w:rPr>
          <w:rFonts w:ascii="Calibri" w:cs="Calibri" w:eastAsia="Calibri" w:hAnsi="Calibri"/>
          <w:color w:val="0F172A"/>
          <w:sz w:val="22"/>
          <w:szCs w:val="22"/>
        </w:rPr>
        <w:t xml:space="preserve">VRF Gas Limit (LOW-03): CALLBACK_GAS_LIMIT should be made configurable before GameItemsV2 upgrade is deployed, to prevent potential fulfillment failures.</w:t>
      </w:r>
    </w:p>
    <w:p>
      <w:pPr>
        <w:pStyle w:val="ListParagraph"/>
        <w:numPr>
          <w:ilvl w:val="0"/>
          <w:numId w:val="2"/>
        </w:numPr>
        <w:spacing w:after="60" w:before="30"/>
      </w:pPr>
      <w:r>
        <w:rPr>
          <w:rFonts w:ascii="Calibri" w:cs="Calibri" w:eastAsia="Calibri" w:hAnsi="Calibri"/>
          <w:color w:val="0F172A"/>
          <w:sz w:val="22"/>
          <w:szCs w:val="22"/>
        </w:rPr>
        <w:t xml:space="preserve">Proposal Threshold: The 1% threshold may be too restrictive for broad community participation. Consider graduated thresholds or delegated proposal rights.</w:t>
      </w:r>
    </w:p>
    <w:p>
      <w:pPr>
        <w:spacing w:after="120" w:before="0"/>
      </w:pPr>
      <w:r>
        <w:rPr>
          <w:sz w:val="22"/>
          <w:szCs w:val="22"/>
        </w:rPr>
        <w:t xml:space="preserve"/>
      </w:r>
    </w:p>
    <w:p>
      <w:pPr>
        <w:pStyle w:val="Heading2"/>
        <w:spacing w:after="140" w:before="320"/>
      </w:pPr>
      <w:r>
        <w:rPr>
          <w:rFonts w:ascii="Calibri" w:cs="Calibri" w:eastAsia="Calibri" w:hAnsi="Calibri"/>
          <w:b/>
          <w:bCs/>
          <w:color w:val="0F172A"/>
          <w:sz w:val="30"/>
          <w:szCs w:val="30"/>
        </w:rPr>
        <w:t xml:space="preserve">9.3 Future Improvements</w:t>
      </w:r>
    </w:p>
    <w:p>
      <w:pPr>
        <w:pStyle w:val="ListParagraph"/>
        <w:numPr>
          <w:ilvl w:val="0"/>
          <w:numId w:val="2"/>
        </w:numPr>
        <w:spacing w:after="60" w:before="30"/>
      </w:pPr>
      <w:r>
        <w:rPr>
          <w:rFonts w:ascii="Calibri" w:cs="Calibri" w:eastAsia="Calibri" w:hAnsi="Calibri"/>
          <w:color w:val="0F172A"/>
          <w:sz w:val="22"/>
          <w:szCs w:val="22"/>
        </w:rPr>
        <w:t xml:space="preserve">GameItemsV2 Upgrade: Deploy the crafting system upgrade via DAO governance vote, demonstrating the full UUPS upgrade lifecycle on-chain</w:t>
      </w:r>
    </w:p>
    <w:p>
      <w:pPr>
        <w:pStyle w:val="ListParagraph"/>
        <w:numPr>
          <w:ilvl w:val="0"/>
          <w:numId w:val="2"/>
        </w:numPr>
        <w:spacing w:after="60" w:before="30"/>
      </w:pPr>
      <w:r>
        <w:rPr>
          <w:rFonts w:ascii="Calibri" w:cs="Calibri" w:eastAsia="Calibri" w:hAnsi="Calibri"/>
          <w:color w:val="0F172A"/>
          <w:sz w:val="22"/>
          <w:szCs w:val="22"/>
        </w:rPr>
        <w:t xml:space="preserve">Multi-Pool AMM: Extend GameFactory to support multiple token pair pools, creating a full in-game DEX with cross-pool routing</w:t>
      </w:r>
    </w:p>
    <w:p>
      <w:pPr>
        <w:pStyle w:val="ListParagraph"/>
        <w:numPr>
          <w:ilvl w:val="0"/>
          <w:numId w:val="2"/>
        </w:numPr>
        <w:spacing w:after="60" w:before="30"/>
      </w:pPr>
      <w:r>
        <w:rPr>
          <w:rFonts w:ascii="Calibri" w:cs="Calibri" w:eastAsia="Calibri" w:hAnsi="Calibri"/>
          <w:color w:val="0F172A"/>
          <w:sz w:val="22"/>
          <w:szCs w:val="22"/>
        </w:rPr>
        <w:t xml:space="preserve">Yield Optimization: Integrate GameVault yield with external yield protocols (Aave, Compound) to generate yield from idle vault assets</w:t>
      </w:r>
    </w:p>
    <w:p>
      <w:pPr>
        <w:pStyle w:val="ListParagraph"/>
        <w:numPr>
          <w:ilvl w:val="0"/>
          <w:numId w:val="2"/>
        </w:numPr>
        <w:spacing w:after="60" w:before="30"/>
      </w:pPr>
      <w:r>
        <w:rPr>
          <w:rFonts w:ascii="Calibri" w:cs="Calibri" w:eastAsia="Calibri" w:hAnsi="Calibri"/>
          <w:color w:val="0F172A"/>
          <w:sz w:val="22"/>
          <w:szCs w:val="22"/>
        </w:rPr>
        <w:t xml:space="preserve">NFT Heroes (ERC-721): Implement the HeroNFT contract with Chainlink VRF-seeded stats (Strength, Agility, Rarity) as an optional extension</w:t>
      </w:r>
    </w:p>
    <w:p>
      <w:pPr>
        <w:pStyle w:val="ListParagraph"/>
        <w:numPr>
          <w:ilvl w:val="0"/>
          <w:numId w:val="2"/>
        </w:numPr>
        <w:spacing w:after="60" w:before="30"/>
      </w:pPr>
      <w:r>
        <w:rPr>
          <w:rFonts w:ascii="Calibri" w:cs="Calibri" w:eastAsia="Calibri" w:hAnsi="Calibri"/>
          <w:color w:val="0F172A"/>
          <w:sz w:val="22"/>
          <w:szCs w:val="22"/>
        </w:rPr>
        <w:t xml:space="preserve">Frontend dApp: Develop a React/Wagmi frontend with wallet integration for all protocol functions (swap, craft, rent, govern)</w:t>
      </w:r>
    </w:p>
    <w:p>
      <w:pPr>
        <w:pStyle w:val="ListParagraph"/>
        <w:numPr>
          <w:ilvl w:val="0"/>
          <w:numId w:val="2"/>
        </w:numPr>
        <w:spacing w:after="60" w:before="30"/>
      </w:pPr>
      <w:r>
        <w:rPr>
          <w:rFonts w:ascii="Calibri" w:cs="Calibri" w:eastAsia="Calibri" w:hAnsi="Calibri"/>
          <w:color w:val="0F172A"/>
          <w:sz w:val="22"/>
          <w:szCs w:val="22"/>
        </w:rPr>
        <w:t xml:space="preserve">Mainnet Deployment: After third-party audit, deploy to Arbitrum One mainnet with real economic incentives</w:t>
      </w:r>
    </w:p>
    <w:p>
      <w:pPr>
        <w:spacing w:after="120" w:before="0"/>
      </w:pPr>
      <w:r>
        <w:rPr>
          <w:sz w:val="22"/>
          <w:szCs w:val="22"/>
        </w:rPr>
        <w:t xml:space="preserve"/>
      </w:r>
    </w:p>
    <w:p>
      <w:pPr>
        <w:pStyle w:val="Heading2"/>
        <w:spacing w:after="140" w:before="320"/>
      </w:pPr>
      <w:r>
        <w:rPr>
          <w:rFonts w:ascii="Calibri" w:cs="Calibri" w:eastAsia="Calibri" w:hAnsi="Calibri"/>
          <w:b/>
          <w:bCs/>
          <w:color w:val="0F172A"/>
          <w:sz w:val="30"/>
          <w:szCs w:val="30"/>
        </w:rPr>
        <w:t xml:space="preserve">9.4 Final Compliance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4680"/>
            <w:gridSpan w:val="1"/>
            <w:tcBorders>
              <w:top w:val="single" w:color="1D4ED8" w:sz="4"/>
              <w:left w:val="single" w:color="1D4ED8" w:sz="4"/>
              <w:bottom w:val="single" w:color="1D4ED8" w:sz="4"/>
              <w:right w:val="single" w:color="1D4ED8" w:sz="4"/>
            </w:tcBorders>
            <w:shd w:fill="1D4ED8" w:val="clear"/>
            <w:tcMar>
              <w:top w:type="dxa" w:w="80"/>
              <w:left w:type="dxa" w:w="120"/>
              <w:bottom w:type="dxa" w:w="80"/>
              <w:right w:type="dxa" w:w="120"/>
            </w:tcMar>
          </w:tcPr>
          <w:p>
            <w:r>
              <w:rPr>
                <w:rFonts w:ascii="Calibri" w:cs="Calibri" w:eastAsia="Calibri" w:hAnsi="Calibri"/>
                <w:b/>
                <w:bCs/>
                <w:color w:val="FFFFFF"/>
                <w:sz w:val="20"/>
                <w:szCs w:val="20"/>
              </w:rPr>
              <w:t xml:space="preserve">Requirement</w:t>
            </w:r>
          </w:p>
        </w:tc>
        <w:tc>
          <w:tcPr>
            <w:tcW w:type="dxa" w:w="1440"/>
            <w:gridSpan w:val="1"/>
            <w:tcBorders>
              <w:top w:val="single" w:color="1D4ED8" w:sz="4"/>
              <w:left w:val="single" w:color="1D4ED8" w:sz="4"/>
              <w:bottom w:val="single" w:color="1D4ED8" w:sz="4"/>
              <w:right w:val="single" w:color="1D4ED8" w:sz="4"/>
            </w:tcBorders>
            <w:shd w:fill="1D4ED8" w:val="clear"/>
            <w:tcMar>
              <w:top w:type="dxa" w:w="80"/>
              <w:left w:type="dxa" w:w="120"/>
              <w:bottom w:type="dxa" w:w="80"/>
              <w:right w:type="dxa" w:w="120"/>
            </w:tcMar>
          </w:tcPr>
          <w:p>
            <w:r>
              <w:rPr>
                <w:rFonts w:ascii="Calibri" w:cs="Calibri" w:eastAsia="Calibri" w:hAnsi="Calibri"/>
                <w:b/>
                <w:bCs/>
                <w:color w:val="FFFFFF"/>
                <w:sz w:val="20"/>
                <w:szCs w:val="20"/>
              </w:rPr>
              <w:t xml:space="preserve">Status</w:t>
            </w:r>
          </w:p>
        </w:tc>
        <w:tc>
          <w:tcPr>
            <w:tcW w:type="dxa" w:w="3240"/>
            <w:gridSpan w:val="1"/>
            <w:tcBorders>
              <w:top w:val="single" w:color="1D4ED8" w:sz="4"/>
              <w:left w:val="single" w:color="1D4ED8" w:sz="4"/>
              <w:bottom w:val="single" w:color="1D4ED8" w:sz="4"/>
              <w:right w:val="single" w:color="1D4ED8" w:sz="4"/>
            </w:tcBorders>
            <w:shd w:fill="1D4ED8" w:val="clear"/>
            <w:tcMar>
              <w:top w:type="dxa" w:w="80"/>
              <w:left w:type="dxa" w:w="120"/>
              <w:bottom w:type="dxa" w:w="80"/>
              <w:right w:type="dxa" w:w="120"/>
            </w:tcMar>
          </w:tcPr>
          <w:p>
            <w:r>
              <w:rPr>
                <w:rFonts w:ascii="Calibri" w:cs="Calibri" w:eastAsia="Calibri" w:hAnsi="Calibri"/>
                <w:b/>
                <w:bCs/>
                <w:color w:val="FFFFFF"/>
                <w:sz w:val="20"/>
                <w:szCs w:val="20"/>
              </w:rPr>
              <w:t xml:space="preserve">Evidence</w:t>
            </w:r>
          </w:p>
        </w:tc>
      </w:tr>
      <w:tr>
        <w:tc>
          <w:tcPr>
            <w:tcW w:type="dxa" w:w="468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UUPS Proxy + V1→V2</w:t>
            </w:r>
          </w:p>
        </w:tc>
        <w:tc>
          <w:tcPr>
            <w:tcW w:type="dxa" w:w="144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bCs/>
                <w:color w:val="15803D"/>
                <w:sz w:val="19"/>
                <w:szCs w:val="19"/>
              </w:rPr>
              <w:t xml:space="preserve">✓ MET</w:t>
            </w:r>
          </w:p>
        </w:tc>
        <w:tc>
          <w:tcPr>
            <w:tcW w:type="dxa" w:w="324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GameItems.sol + GameItemsV2.sol</w:t>
            </w:r>
          </w:p>
        </w:tc>
      </w:tr>
      <w:tr>
        <w:tc>
          <w:tcPr>
            <w:tcW w:type="dxa" w:w="468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Factory (CREATE + CREATE2)</w:t>
            </w:r>
          </w:p>
        </w:tc>
        <w:tc>
          <w:tcPr>
            <w:tcW w:type="dxa" w:w="144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bCs/>
                <w:color w:val="15803D"/>
                <w:sz w:val="19"/>
                <w:szCs w:val="19"/>
              </w:rPr>
              <w:t xml:space="preserve">✓ MET</w:t>
            </w:r>
          </w:p>
        </w:tc>
        <w:tc>
          <w:tcPr>
            <w:tcW w:type="dxa" w:w="324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GameFactory.sol — predictGameItemsAddress()</w:t>
            </w:r>
          </w:p>
        </w:tc>
      </w:tr>
      <w:tr>
        <w:tc>
          <w:tcPr>
            <w:tcW w:type="dxa" w:w="468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Inline Yul Assembly</w:t>
            </w:r>
          </w:p>
        </w:tc>
        <w:tc>
          <w:tcPr>
            <w:tcW w:type="dxa" w:w="144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bCs/>
                <w:color w:val="15803D"/>
                <w:sz w:val="19"/>
                <w:szCs w:val="19"/>
              </w:rPr>
              <w:t xml:space="preserve">✓ MET</w:t>
            </w:r>
          </w:p>
        </w:tc>
        <w:tc>
          <w:tcPr>
            <w:tcW w:type="dxa" w:w="324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_sqrtYul() −26%, _getAmountOutYul() −18%</w:t>
            </w:r>
          </w:p>
        </w:tc>
      </w:tr>
      <w:tr>
        <w:tc>
          <w:tcPr>
            <w:tcW w:type="dxa" w:w="468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ERC-20 + Votes + Permit</w:t>
            </w:r>
          </w:p>
        </w:tc>
        <w:tc>
          <w:tcPr>
            <w:tcW w:type="dxa" w:w="144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bCs/>
                <w:color w:val="15803D"/>
                <w:sz w:val="19"/>
                <w:szCs w:val="19"/>
              </w:rPr>
              <w:t xml:space="preserve">✓ MET</w:t>
            </w:r>
          </w:p>
        </w:tc>
        <w:tc>
          <w:tcPr>
            <w:tcW w:type="dxa" w:w="324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GameToken.sol</w:t>
            </w:r>
          </w:p>
        </w:tc>
      </w:tr>
      <w:tr>
        <w:tc>
          <w:tcPr>
            <w:tcW w:type="dxa" w:w="468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ERC-1155 (upgradeable)</w:t>
            </w:r>
          </w:p>
        </w:tc>
        <w:tc>
          <w:tcPr>
            <w:tcW w:type="dxa" w:w="144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bCs/>
                <w:color w:val="15803D"/>
                <w:sz w:val="19"/>
                <w:szCs w:val="19"/>
              </w:rPr>
              <w:t xml:space="preserve">✓ MET</w:t>
            </w:r>
          </w:p>
        </w:tc>
        <w:tc>
          <w:tcPr>
            <w:tcW w:type="dxa" w:w="324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GameItems.sol — MINTER + UPGRADER roles</w:t>
            </w:r>
          </w:p>
        </w:tc>
      </w:tr>
      <w:tr>
        <w:tc>
          <w:tcPr>
            <w:tcW w:type="dxa" w:w="468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ERC-4626 Vault</w:t>
            </w:r>
          </w:p>
        </w:tc>
        <w:tc>
          <w:tcPr>
            <w:tcW w:type="dxa" w:w="144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bCs/>
                <w:color w:val="15803D"/>
                <w:sz w:val="19"/>
                <w:szCs w:val="19"/>
              </w:rPr>
              <w:t xml:space="preserve">✓ MET</w:t>
            </w:r>
          </w:p>
        </w:tc>
        <w:tc>
          <w:tcPr>
            <w:tcW w:type="dxa" w:w="324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GameVault.sol — full rounding compliance</w:t>
            </w:r>
          </w:p>
        </w:tc>
      </w:tr>
      <w:tr>
        <w:tc>
          <w:tcPr>
            <w:tcW w:type="dxa" w:w="468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Chainlink Price Feed</w:t>
            </w:r>
          </w:p>
        </w:tc>
        <w:tc>
          <w:tcPr>
            <w:tcW w:type="dxa" w:w="144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bCs/>
                <w:color w:val="15803D"/>
                <w:sz w:val="19"/>
                <w:szCs w:val="19"/>
              </w:rPr>
              <w:t xml:space="preserve">✓ MET</w:t>
            </w:r>
          </w:p>
        </w:tc>
        <w:tc>
          <w:tcPr>
            <w:tcW w:type="dxa" w:w="324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GameVault.sol — staleness check (1h)</w:t>
            </w:r>
          </w:p>
        </w:tc>
      </w:tr>
      <w:tr>
        <w:tc>
          <w:tcPr>
            <w:tcW w:type="dxa" w:w="468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Chainlink VRF v2</w:t>
            </w:r>
          </w:p>
        </w:tc>
        <w:tc>
          <w:tcPr>
            <w:tcW w:type="dxa" w:w="144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bCs/>
                <w:color w:val="15803D"/>
                <w:sz w:val="19"/>
                <w:szCs w:val="19"/>
              </w:rPr>
              <w:t xml:space="preserve">✓ MET</w:t>
            </w:r>
          </w:p>
        </w:tc>
        <w:tc>
          <w:tcPr>
            <w:tcW w:type="dxa" w:w="324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LootDrop.sol — active subscription, 4 fulfillments</w:t>
            </w:r>
          </w:p>
        </w:tc>
      </w:tr>
      <w:tr>
        <w:tc>
          <w:tcPr>
            <w:tcW w:type="dxa" w:w="468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OZ Governor + Timelock</w:t>
            </w:r>
          </w:p>
        </w:tc>
        <w:tc>
          <w:tcPr>
            <w:tcW w:type="dxa" w:w="144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bCs/>
                <w:color w:val="15803D"/>
                <w:sz w:val="19"/>
                <w:szCs w:val="19"/>
              </w:rPr>
              <w:t xml:space="preserve">✓ MET</w:t>
            </w:r>
          </w:p>
        </w:tc>
        <w:tc>
          <w:tcPr>
            <w:tcW w:type="dxa" w:w="324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GameDAO.sol — full lifecycle tested</w:t>
            </w:r>
          </w:p>
        </w:tc>
      </w:tr>
      <w:tr>
        <w:tc>
          <w:tcPr>
            <w:tcW w:type="dxa" w:w="468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L2 Deployment</w:t>
            </w:r>
          </w:p>
        </w:tc>
        <w:tc>
          <w:tcPr>
            <w:tcW w:type="dxa" w:w="144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bCs/>
                <w:color w:val="15803D"/>
                <w:sz w:val="19"/>
                <w:szCs w:val="19"/>
              </w:rPr>
              <w:t xml:space="preserve">✓ MET</w:t>
            </w:r>
          </w:p>
        </w:tc>
        <w:tc>
          <w:tcPr>
            <w:tcW w:type="dxa" w:w="324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Arbitrum Sepolia — Chain ID 421614 — all verified</w:t>
            </w:r>
          </w:p>
        </w:tc>
      </w:tr>
      <w:tr>
        <w:tc>
          <w:tcPr>
            <w:tcW w:type="dxa" w:w="468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133 Tests (≥80)</w:t>
            </w:r>
          </w:p>
        </w:tc>
        <w:tc>
          <w:tcPr>
            <w:tcW w:type="dxa" w:w="144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bCs/>
                <w:color w:val="15803D"/>
                <w:sz w:val="19"/>
                <w:szCs w:val="19"/>
              </w:rPr>
              <w:t xml:space="preserve">✓ MET</w:t>
            </w:r>
          </w:p>
        </w:tc>
        <w:tc>
          <w:tcPr>
            <w:tcW w:type="dxa" w:w="3240"/>
            <w:tcBorders>
              <w:top w:val="single" w:color="CBD5E1" w:sz="4"/>
              <w:left w:val="single" w:color="CBD5E1" w:sz="4"/>
              <w:bottom w:val="single" w:color="CBD5E1" w:sz="4"/>
              <w:right w:val="single" w:color="CBD5E1" w:sz="4"/>
            </w:tcBorders>
            <w:shd w:fill="EFF6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110+ unit, 16 fuzz, 5 invariant, 3 fork — all pass</w:t>
            </w:r>
          </w:p>
        </w:tc>
      </w:tr>
      <w:tr>
        <w:tc>
          <w:tcPr>
            <w:tcW w:type="dxa" w:w="468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0 High/Medium Security Findings</w:t>
            </w:r>
          </w:p>
        </w:tc>
        <w:tc>
          <w:tcPr>
            <w:tcW w:type="dxa" w:w="144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bCs/>
                <w:color w:val="15803D"/>
                <w:sz w:val="19"/>
                <w:szCs w:val="19"/>
              </w:rPr>
              <w:t xml:space="preserve">✓ MET</w:t>
            </w:r>
          </w:p>
        </w:tc>
        <w:tc>
          <w:tcPr>
            <w:tcW w:type="dxa" w:w="324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vAlign w:val="center"/>
          </w:tcPr>
          <w:p>
            <w:pPr>
              <w:jc w:val="left"/>
            </w:pPr>
            <w:r>
              <w:rPr>
                <w:rFonts w:ascii="Calibri" w:cs="Calibri" w:eastAsia="Calibri" w:hAnsi="Calibri"/>
                <w:b w:val="false"/>
                <w:bCs w:val="false"/>
                <w:color w:val="0F172A"/>
                <w:sz w:val="19"/>
                <w:szCs w:val="19"/>
              </w:rPr>
              <w:t xml:space="preserve">Security audit report — Slither analysis</w:t>
            </w:r>
          </w:p>
        </w:tc>
      </w:tr>
    </w:tbl>
    <w:p>
      <w:pPr>
        <w:spacing w:after="240" w:before="0"/>
      </w:pPr>
      <w:r>
        <w:rPr>
          <w:sz w:val="22"/>
          <w:szCs w:val="22"/>
        </w:rPr>
        <w:t xml:space="preserve"/>
      </w:r>
    </w:p>
    <w:p>
      <w:pPr>
        <w:spacing w:after="80" w:before="40"/>
      </w:pPr>
      <w:r>
        <w:rPr>
          <w:rFonts w:ascii="Calibri" w:cs="Calibri" w:eastAsia="Calibri" w:hAnsi="Calibri"/>
          <w:i/>
          <w:iCs/>
          <w:color w:val="475569"/>
          <w:sz w:val="21"/>
          <w:szCs w:val="21"/>
        </w:rPr>
        <w:t xml:space="preserve">This report was prepared based exclusively on the GameFi Protocol GitHub repository (github.com/Heb1ks/BlockFINAL2-), on-chain verification screenshots (Arbiscan, Chainlink VRF, The Graph), and the internal Security Audit Report. All contract addresses, test counts, and technical specifications reflect the deployed state of the protocol as of May 2026.</w:t>
      </w:r>
    </w:p>
    <w:sectPr>
      <w:headerReference w:type="default" r:id="rId7"/>
      <w:footerReference w:type="default" r:id="rId8"/>
      <w:pgSz w:w="12240" w:h="15840"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75569"/>
        <w:sz w:val="18"/>
        <w:szCs w:val="18"/>
      </w:rPr>
      <w:t xml:space="preserve">Page </w:t>
    </w:r>
    <w:r>
      <w:rPr>
        <w:rFonts w:ascii="Calibri" w:cs="Calibri" w:eastAsia="Calibri" w:hAnsi="Calibri"/>
        <w:color w:val="64748B"/>
        <w:sz w:val="18"/>
        <w:szCs w:val="18"/>
      </w:rPr>
      <w:t xml:space="preserve">·</w:t>
    </w:r>
    <w:r>
      <w:rPr>
        <w:rFonts w:ascii="Calibri" w:cs="Calibri" w:eastAsia="Calibri" w:hAnsi="Calibri"/>
        <w:color w:val="475569"/>
        <w:sz w:val="18"/>
        <w:szCs w:val="18"/>
      </w:rPr>
      <w:t xml:space="preserve">  |  github.com/Heb1ks/BlockFINAL2-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pPr>
    <w:r>
      <w:rPr>
        <w:rFonts w:ascii="Calibri" w:cs="Calibri" w:eastAsia="Calibri" w:hAnsi="Calibri"/>
        <w:b/>
        <w:bCs/>
        <w:color w:val="1D4ED8"/>
        <w:sz w:val="18"/>
        <w:szCs w:val="18"/>
      </w:rPr>
      <w:t xml:space="preserve">GameFi Protocol — Technical Report</w:t>
    </w:r>
    <w:r>
      <w:rPr>
        <w:rFonts w:ascii="Calibri" w:cs="Calibri" w:eastAsia="Calibri" w:hAnsi="Calibri"/>
        <w:color w:val="475569"/>
        <w:sz w:val="18"/>
        <w:szCs w:val="18"/>
      </w:rPr>
      <w:t xml:space="preserve">  |  SE-2421  |  Gizatov · Rymbaev · Kalieva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Calibri" w:cs="Calibri" w:eastAsia="Calibri" w:hAnsi="Calibri"/>
      <w:b/>
      <w:bCs/>
      <w:color w:val="1D4ED8"/>
      <w:sz w:val="40"/>
      <w:szCs w:val="40"/>
    </w:rPr>
  </w:style>
  <w:style w:type="paragraph" w:styleId="Heading2">
    <w:name w:val="Heading 2"/>
    <w:basedOn w:val="Normal"/>
    <w:next w:val="Normal"/>
    <w:qFormat/>
    <w:pPr>
      <w:spacing w:after="140" w:before="320"/>
      <w:outlineLvl w:val="1"/>
    </w:pPr>
    <w:rPr>
      <w:rFonts w:ascii="Calibri" w:cs="Calibri" w:eastAsia="Calibri" w:hAnsi="Calibri"/>
      <w:b/>
      <w:bCs/>
      <w:color w:val="0F172A"/>
      <w:sz w:val="30"/>
      <w:szCs w:val="30"/>
    </w:rPr>
  </w:style>
  <w:style w:type="paragraph" w:styleId="Heading3">
    <w:name w:val="Heading 3"/>
    <w:basedOn w:val="Normal"/>
    <w:next w:val="Normal"/>
    <w:qFormat/>
    <w:pPr>
      <w:spacing w:after="100" w:before="240"/>
      <w:outlineLvl w:val="2"/>
    </w:pPr>
    <w:rPr>
      <w:rFonts w:ascii="Calibri" w:cs="Calibri" w:eastAsia="Calibri" w:hAnsi="Calibri"/>
      <w:b/>
      <w:bCs/>
      <w:color w:val="0891B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2026-05-18T00:44:28.586Z</dcterms:created>
  <dcterms:modified xsi:type="dcterms:W3CDTF">2026-05-18T00:44:28.600Z</dcterms:modified>
</cp:coreProperties>
</file>

<file path=docProps/custom.xml><?xml version="1.0" encoding="utf-8"?>
<Properties xmlns="http://schemas.openxmlformats.org/officeDocument/2006/custom-properties" xmlns:vt="http://schemas.openxmlformats.org/officeDocument/2006/docPropsVTypes"/>
</file>