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bidi/>
      </w:pPr>
      <w:r>
        <w:rPr>
          <w:rFonts w:ascii="Calibri" w:hAnsi="Calibri"/>
          <w:b/>
          <w:color w:val="2B579A"/>
          <w:sz w:val="26"/>
        </w:rPr>
        <w:t>W  |  MICROSOFT WORD DOCUMENT</w:t>
      </w:r>
    </w:p>
    <w:p>
      <w:pPr>
        <w:spacing w:before="400" w:after="200"/>
        <w:jc w:val="center"/>
        <w:bidi/>
      </w:pPr>
      <w:r>
        <w:rPr>
          <w:rFonts w:ascii="Traditional Arabic" w:hAnsi="Traditional Arabic"/>
          <w:b/>
          <w:color w:val="1B365D"/>
          <w:sz w:val="60"/>
        </w:rPr>
        <w:t>التخطيط للمواقع</w:t>
      </w:r>
    </w:p>
    <w:p>
      <w:pPr>
        <w:spacing w:after="480"/>
        <w:jc w:val="center"/>
        <w:bidi/>
      </w:pPr>
      <w:r>
        <w:rPr>
          <w:rFonts w:ascii="Traditional Arabic" w:hAnsi="Traditional Arabic"/>
          <w:i/>
          <w:color w:val="4A5568"/>
          <w:sz w:val="34"/>
        </w:rPr>
        <w:t>أهمية رسم شكل الموقع وتنظيم صفحاته قبل البرمجة</w:t>
      </w:r>
    </w:p>
    <w:tbl>
      <w:tblPr>
        <w:tblW w:type="auto" w:w="0"/>
        <w:jc w:val="center"/>
        <w:tblLayout w:type="fixed"/>
        <w:tblLook w:firstColumn="1" w:firstRow="1" w:lastColumn="0" w:lastRow="0" w:noHBand="0" w:noVBand="1" w:val="04A0"/>
      </w:tblPr>
      <w:tblGrid>
        <w:gridCol w:w="4680"/>
        <w:gridCol w:w="4680"/>
      </w:tblGrid>
      <w:tr>
        <w:tc>
          <w:tcPr>
            <w:tcW w:type="dxa" w:w="4680"/>
          </w:tcPr>
          <w:p>
            <w:pPr>
              <w:jc w:val="right"/>
              <w:bidi/>
            </w:pPr>
            <w:r>
              <w:rPr>
                <w:rFonts w:ascii="Traditional Arabic" w:hAnsi="Traditional Arabic"/>
                <w:b/>
                <w:sz w:val="30"/>
              </w:rPr>
              <w:t>هبه السيد السيد المتولي</w:t>
            </w:r>
          </w:p>
        </w:tc>
        <w:tc>
          <w:tcPr>
            <w:tcW w:type="dxa" w:w="4680"/>
          </w:tcPr>
          <w:p>
            <w:pPr>
              <w:jc w:val="right"/>
              <w:bidi/>
            </w:pPr>
            <w:r>
              <w:rPr>
                <w:rFonts w:ascii="Traditional Arabic" w:hAnsi="Traditional Arabic"/>
                <w:color w:val="718096"/>
                <w:sz w:val="30"/>
              </w:rPr>
              <w:t>الاسم:</w:t>
            </w:r>
          </w:p>
        </w:tc>
      </w:tr>
      <w:tr>
        <w:tc>
          <w:tcPr>
            <w:tcW w:type="dxa" w:w="4680"/>
          </w:tcPr>
          <w:p>
            <w:pPr>
              <w:jc w:val="right"/>
              <w:bidi/>
            </w:pPr>
            <w:r>
              <w:rPr>
                <w:rFonts w:ascii="Traditional Arabic" w:hAnsi="Traditional Arabic"/>
                <w:b/>
                <w:sz w:val="30"/>
              </w:rPr>
              <w:t>2502227</w:t>
            </w:r>
          </w:p>
        </w:tc>
        <w:tc>
          <w:tcPr>
            <w:tcW w:type="dxa" w:w="4680"/>
          </w:tcPr>
          <w:p>
            <w:pPr>
              <w:jc w:val="right"/>
              <w:bidi/>
            </w:pPr>
            <w:r>
              <w:rPr>
                <w:rFonts w:ascii="Traditional Arabic" w:hAnsi="Traditional Arabic"/>
                <w:color w:val="718096"/>
                <w:sz w:val="30"/>
              </w:rPr>
              <w:t>الرقم الجامعي:</w:t>
            </w:r>
          </w:p>
        </w:tc>
      </w:tr>
    </w:tbl>
    <w:p>
      <w:pPr>
        <w:spacing w:before="320" w:after="200"/>
        <w:jc w:val="right"/>
        <w:bidi/>
      </w:pPr>
      <w:r>
        <w:rPr>
          <w:rFonts w:ascii="Traditional Arabic" w:hAnsi="Traditional Arabic"/>
          <w:b/>
          <w:color w:val="1B365D"/>
          <w:sz w:val="44"/>
        </w:rPr>
        <w:t>المقدمة</w:t>
      </w:r>
    </w:p>
    <w:p>
      <w:pPr>
        <w:spacing w:after="240" w:line="324" w:lineRule="auto"/>
        <w:jc w:val="both"/>
        <w:bidi/>
      </w:pPr>
      <w:r>
        <w:rPr>
          <w:rFonts w:ascii="Traditional Arabic" w:hAnsi="Traditional Arabic"/>
          <w:color w:val="2D3748"/>
          <w:sz w:val="30"/>
        </w:rPr>
        <w:t>يُعد بناء المواقع الإلكترونية عملية هندسية متكاملة تشبه إلى حد كبير تشييد المباني والمعمار؛ فلا يمكن البدء في وضع أساسات البناء والخرسانة قبل إعداد المخططات الهندسية والتصميمية التفصيلية. كذلك الحال في تطوير المواقع الرقمية، يُعتبر التخطيط للمواقع (Website Planning) الخطوة الحيوية الأولى التي يرتكز عليها نجاح أو فشل أي مشروع رقمي.</w:t>
      </w:r>
    </w:p>
    <w:p>
      <w:pPr>
        <w:spacing w:after="240" w:line="324" w:lineRule="auto"/>
        <w:jc w:val="both"/>
        <w:bidi/>
      </w:pPr>
      <w:r>
        <w:rPr>
          <w:rFonts w:ascii="Traditional Arabic" w:hAnsi="Traditional Arabic"/>
          <w:color w:val="2D3748"/>
          <w:sz w:val="30"/>
        </w:rPr>
        <w:t>إن البدء في كتابة الأكواد البرمجية مباشرةً دون تخطيط مسبق يؤدي غَالباً إلى الفوضى، إهدار الموارد المادية والبشرية، وصعوبة التعديل لاحقاً. يهدف هذا البحث إلى تفسير أسباب وأهمية رسم شكل الموقع وتنظيم صفحاته والتخطيط لهياكله وتجربة المستخدم (UI/UX Wireframing &amp; Information Architecture) قبل التوجه لمرحلة البرمجة والتطوير الفعلي.</w:t>
      </w:r>
    </w:p>
    <w:p>
      <w:pPr>
        <w:spacing w:before="600"/>
        <w:jc w:val="center"/>
        <w:bidi/>
      </w:pPr>
      <w:r>
        <w:rPr>
          <w:rFonts w:ascii="Traditional Arabic" w:hAnsi="Traditional Arabic"/>
          <w:b/>
          <w:color w:val="2B579A"/>
          <w:sz w:val="26"/>
        </w:rPr>
        <w:t>[ الصفحة 1 ]</w:t>
      </w:r>
    </w:p>
    <w:p>
      <w:r>
        <w:br w:type="page"/>
      </w:r>
    </w:p>
    <w:p>
      <w:pPr>
        <w:spacing w:before="320" w:after="200"/>
        <w:jc w:val="right"/>
        <w:bidi/>
      </w:pPr>
      <w:r>
        <w:rPr>
          <w:rFonts w:ascii="Traditional Arabic" w:hAnsi="Traditional Arabic"/>
          <w:b/>
          <w:color w:val="1B365D"/>
          <w:sz w:val="44"/>
        </w:rPr>
        <w:t>أولاً: أسباب ودواعي التخطيط ورسم الموقع قبل البرمجة</w:t>
      </w:r>
    </w:p>
    <w:p>
      <w:pPr>
        <w:spacing w:after="240" w:line="324" w:lineRule="auto"/>
        <w:jc w:val="both"/>
        <w:bidi/>
      </w:pPr>
      <w:r>
        <w:rPr>
          <w:rFonts w:ascii="Traditional Arabic" w:hAnsi="Traditional Arabic"/>
          <w:color w:val="2D3748"/>
          <w:sz w:val="30"/>
        </w:rPr>
        <w:t>تتعدد الأسباب التقنية والاقتصادية التي تجعل من التخطيط والتصميم الهيكلي ضرورة قصوى قبل البدء بكتابة الأكواد، وتتألف من محاور رئيسية تشمل:</w:t>
      </w:r>
    </w:p>
    <w:p>
      <w:pPr>
        <w:spacing w:after="240" w:line="324" w:lineRule="auto"/>
        <w:jc w:val="both"/>
        <w:bidi/>
      </w:pPr>
      <w:r>
        <w:rPr>
          <w:rFonts w:ascii="Traditional Arabic" w:hAnsi="Traditional Arabic"/>
          <w:b/>
          <w:color w:val="1A202C"/>
          <w:sz w:val="30"/>
        </w:rPr>
        <w:t xml:space="preserve">1. توفير الوقت والتكلفة المالية لتقليل التعديلات (Cost and Time Efficiency): </w:t>
      </w:r>
      <w:r>
        <w:rPr>
          <w:rFonts w:ascii="Traditional Arabic" w:hAnsi="Traditional Arabic"/>
          <w:color w:val="2D3748"/>
          <w:sz w:val="30"/>
        </w:rPr>
        <w:t>التعديل على رسم أو تخطيط سلكي (Wireframe) يستغرق دقائق معدودة ولا يتطلب جُهداً كبيراً، في حين أن التعديل على الكود البرمجي بعد كتابته وربطه بقواعد البيانات قد يتطلب إعادة كتابة أجزاء واسعة من المشروع واستغراق أسابيع من العمل الشاق.</w:t>
      </w:r>
    </w:p>
    <w:p>
      <w:pPr>
        <w:spacing w:after="240" w:line="324" w:lineRule="auto"/>
        <w:jc w:val="both"/>
        <w:bidi/>
      </w:pPr>
      <w:r>
        <w:rPr>
          <w:rFonts w:ascii="Traditional Arabic" w:hAnsi="Traditional Arabic"/>
          <w:b/>
          <w:color w:val="1A202C"/>
          <w:sz w:val="30"/>
        </w:rPr>
        <w:t xml:space="preserve">2. تحديد هندسة المعلومات وتدفق المستخدم (Information Architecture &amp; User Flow): </w:t>
      </w:r>
      <w:r>
        <w:rPr>
          <w:rFonts w:ascii="Traditional Arabic" w:hAnsi="Traditional Arabic"/>
          <w:color w:val="2D3748"/>
          <w:sz w:val="30"/>
        </w:rPr>
        <w:t>يساعد رسم مخطط الموقع (Sitemap) على تنظيم الأقسام، وتبويب الصفحات، وتحديد المسار الذي سيتخذه الزائر للوصول إلى هدفه (كإتمام عملية شراء أو التسجيل) بأقل عدد ممكن من النقرات.</w:t>
      </w:r>
    </w:p>
    <w:p>
      <w:pPr>
        <w:spacing w:after="240" w:line="324" w:lineRule="auto"/>
        <w:jc w:val="both"/>
        <w:bidi/>
      </w:pPr>
      <w:r>
        <w:rPr>
          <w:rFonts w:ascii="Traditional Arabic" w:hAnsi="Traditional Arabic"/>
          <w:b/>
          <w:color w:val="1A202C"/>
          <w:sz w:val="30"/>
        </w:rPr>
        <w:t xml:space="preserve">3. تحسين تجربة واجهة المستخدم (UI/UX Optimization): </w:t>
      </w:r>
      <w:r>
        <w:rPr>
          <w:rFonts w:ascii="Traditional Arabic" w:hAnsi="Traditional Arabic"/>
          <w:color w:val="2D3748"/>
          <w:sz w:val="30"/>
        </w:rPr>
        <w:t>يتيح التخطيط الأولي التركيز التام على سهولة الاستخدام (Usability) وتوزيع العناصر الهامة كالقوائم والأزرار والنصوص بشكل مريح للعين بدلاً من الانشغال بالتفاصيل البرمجية المعقدة.</w:t>
      </w:r>
    </w:p>
    <w:p>
      <w:pPr>
        <w:spacing w:after="240" w:line="324" w:lineRule="auto"/>
        <w:jc w:val="both"/>
        <w:bidi/>
      </w:pPr>
      <w:r>
        <w:rPr>
          <w:rFonts w:ascii="Traditional Arabic" w:hAnsi="Traditional Arabic"/>
          <w:b/>
          <w:color w:val="1A202C"/>
          <w:sz w:val="30"/>
        </w:rPr>
        <w:t xml:space="preserve">4. توحيد الرؤية بين فريق العمل والعميل (Stakeholder Alignment): </w:t>
      </w:r>
      <w:r>
        <w:rPr>
          <w:rFonts w:ascii="Traditional Arabic" w:hAnsi="Traditional Arabic"/>
          <w:color w:val="2D3748"/>
          <w:sz w:val="30"/>
        </w:rPr>
        <w:t>يُشكل المخطط الرسومي لغة مشتركة تفهمها كافة الأطراف (المصممون، البرمجيون، أصحاب العمل). يُمكن للعميل معاينة شكل وتدفق الموقع والموافقة عليه قبل استثمار الأموال في مرحلة البرمجة.</w:t>
      </w:r>
    </w:p>
    <w:p>
      <w:pPr>
        <w:spacing w:before="600"/>
        <w:jc w:val="center"/>
        <w:bidi/>
      </w:pPr>
      <w:r>
        <w:rPr>
          <w:rFonts w:ascii="Traditional Arabic" w:hAnsi="Traditional Arabic"/>
          <w:b/>
          <w:color w:val="2B579A"/>
          <w:sz w:val="26"/>
        </w:rPr>
        <w:t>[ الصفحة 2 ]</w:t>
      </w:r>
    </w:p>
    <w:p>
      <w:r>
        <w:br w:type="page"/>
      </w:r>
    </w:p>
    <w:p>
      <w:pPr>
        <w:spacing w:before="320" w:after="200"/>
        <w:jc w:val="right"/>
        <w:bidi/>
      </w:pPr>
      <w:r>
        <w:rPr>
          <w:rFonts w:ascii="Traditional Arabic" w:hAnsi="Traditional Arabic"/>
          <w:b/>
          <w:color w:val="1B365D"/>
          <w:sz w:val="44"/>
        </w:rPr>
        <w:t>جدول مراحل التخطيط وتطور رسم صفحات الموقع</w:t>
      </w:r>
    </w:p>
    <w:p>
      <w:pPr>
        <w:spacing w:after="240" w:line="324" w:lineRule="auto"/>
        <w:jc w:val="both"/>
        <w:bidi/>
      </w:pPr>
      <w:r>
        <w:rPr>
          <w:rFonts w:ascii="Traditional Arabic" w:hAnsi="Traditional Arabic"/>
          <w:color w:val="2D3748"/>
          <w:sz w:val="30"/>
        </w:rPr>
        <w:t>يمر رسم وتصميم واجهات الموقع وتطور المخططات بثلَاث مراحل أساسية تتدرج من البساطة الشديدة إلى التصميم النهائي المكتمل الذي يُسلم للمبرمجين:</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365D"/>
          </w:tcPr>
          <w:p>
            <w:pPr>
              <w:jc w:val="center"/>
              <w:bidi/>
            </w:pPr>
            <w:r>
              <w:rPr>
                <w:rFonts w:ascii="Traditional Arabic" w:hAnsi="Traditional Arabic"/>
                <w:b/>
                <w:color w:val="FFFFFF"/>
                <w:sz w:val="26"/>
              </w:rPr>
              <w:t>المرحلة التصميمية</w:t>
            </w:r>
          </w:p>
        </w:tc>
        <w:tc>
          <w:tcPr>
            <w:tcW w:type="dxa" w:w="3120"/>
            <w:shd w:val="clear" w:color="auto" w:fill="1B365D"/>
          </w:tcPr>
          <w:p>
            <w:pPr>
              <w:jc w:val="center"/>
              <w:bidi/>
            </w:pPr>
            <w:r>
              <w:rPr>
                <w:rFonts w:ascii="Traditional Arabic" w:hAnsi="Traditional Arabic"/>
                <w:b/>
                <w:color w:val="FFFFFF"/>
                <w:sz w:val="26"/>
              </w:rPr>
              <w:t>مستوى التفاصيل والهدف</w:t>
            </w:r>
          </w:p>
        </w:tc>
        <w:tc>
          <w:tcPr>
            <w:tcW w:type="dxa" w:w="3120"/>
            <w:shd w:val="clear" w:color="auto" w:fill="1B365D"/>
          </w:tcPr>
          <w:p>
            <w:pPr>
              <w:jc w:val="center"/>
              <w:bidi/>
            </w:pPr>
            <w:r>
              <w:rPr>
                <w:rFonts w:ascii="Traditional Arabic" w:hAnsi="Traditional Arabic"/>
                <w:b/>
                <w:color w:val="FFFFFF"/>
                <w:sz w:val="26"/>
              </w:rPr>
              <w:t>الأدوات المستعملة</w:t>
            </w:r>
          </w:p>
        </w:tc>
      </w:tr>
      <w:tr>
        <w:tc>
          <w:tcPr>
            <w:tcW w:type="dxa" w:w="3120"/>
          </w:tcPr>
          <w:p>
            <w:pPr>
              <w:jc w:val="right"/>
              <w:bidi/>
            </w:pPr>
            <w:r>
              <w:rPr>
                <w:rFonts w:ascii="Traditional Arabic" w:hAnsi="Traditional Arabic"/>
                <w:sz w:val="24"/>
              </w:rPr>
              <w:t>التخطيط الهيكلي (Wireframe)</w:t>
            </w:r>
          </w:p>
        </w:tc>
        <w:tc>
          <w:tcPr>
            <w:tcW w:type="dxa" w:w="3120"/>
          </w:tcPr>
          <w:p>
            <w:pPr>
              <w:jc w:val="right"/>
              <w:bidi/>
            </w:pPr>
            <w:r>
              <w:rPr>
                <w:rFonts w:ascii="Traditional Arabic" w:hAnsi="Traditional Arabic"/>
                <w:sz w:val="24"/>
              </w:rPr>
              <w:t>رسم رمادي بسيط يحدد أماكن العناصر والقوائم دون ألوان أو صور</w:t>
            </w:r>
          </w:p>
        </w:tc>
        <w:tc>
          <w:tcPr>
            <w:tcW w:type="dxa" w:w="3120"/>
          </w:tcPr>
          <w:p>
            <w:pPr>
              <w:jc w:val="left"/>
              <w:bidi/>
            </w:pPr>
            <w:r>
              <w:rPr>
                <w:rFonts w:ascii="Traditional Arabic" w:hAnsi="Traditional Arabic"/>
                <w:sz w:val="24"/>
              </w:rPr>
              <w:t>Paper Sketching, Balsamiq, Whimsical</w:t>
            </w:r>
          </w:p>
        </w:tc>
      </w:tr>
      <w:tr>
        <w:tc>
          <w:tcPr>
            <w:tcW w:type="dxa" w:w="3120"/>
            <w:shd w:val="clear" w:color="auto" w:fill="F7FAFC"/>
          </w:tcPr>
          <w:p>
            <w:pPr>
              <w:jc w:val="right"/>
              <w:bidi/>
            </w:pPr>
            <w:r>
              <w:rPr>
                <w:rFonts w:ascii="Traditional Arabic" w:hAnsi="Traditional Arabic"/>
                <w:sz w:val="24"/>
              </w:rPr>
              <w:t>النموذج الأولي التفاعلي (Prototype)</w:t>
            </w:r>
          </w:p>
        </w:tc>
        <w:tc>
          <w:tcPr>
            <w:tcW w:type="dxa" w:w="3120"/>
            <w:shd w:val="clear" w:color="auto" w:fill="F7FAFC"/>
          </w:tcPr>
          <w:p>
            <w:pPr>
              <w:jc w:val="right"/>
              <w:bidi/>
            </w:pPr>
            <w:r>
              <w:rPr>
                <w:rFonts w:ascii="Traditional Arabic" w:hAnsi="Traditional Arabic"/>
                <w:sz w:val="24"/>
              </w:rPr>
              <w:t>نموذج قابل للنقر يُحاكي طريقة تنقل المستخدم بين الصفحات</w:t>
            </w:r>
          </w:p>
        </w:tc>
        <w:tc>
          <w:tcPr>
            <w:tcW w:type="dxa" w:w="3120"/>
            <w:shd w:val="clear" w:color="auto" w:fill="F7FAFC"/>
          </w:tcPr>
          <w:p>
            <w:pPr>
              <w:jc w:val="left"/>
              <w:bidi/>
            </w:pPr>
            <w:r>
              <w:rPr>
                <w:rFonts w:ascii="Traditional Arabic" w:hAnsi="Traditional Arabic"/>
                <w:sz w:val="24"/>
              </w:rPr>
              <w:t>Figma, Adobe XD, InVision</w:t>
            </w:r>
          </w:p>
        </w:tc>
      </w:tr>
      <w:tr>
        <w:tc>
          <w:tcPr>
            <w:tcW w:type="dxa" w:w="3120"/>
          </w:tcPr>
          <w:p>
            <w:pPr>
              <w:jc w:val="right"/>
              <w:bidi/>
            </w:pPr>
            <w:r>
              <w:rPr>
                <w:rFonts w:ascii="Traditional Arabic" w:hAnsi="Traditional Arabic"/>
                <w:sz w:val="24"/>
              </w:rPr>
              <w:t>التصميم النهائي (High-Fidelity UI)</w:t>
            </w:r>
          </w:p>
        </w:tc>
        <w:tc>
          <w:tcPr>
            <w:tcW w:type="dxa" w:w="3120"/>
          </w:tcPr>
          <w:p>
            <w:pPr>
              <w:jc w:val="right"/>
              <w:bidi/>
            </w:pPr>
            <w:r>
              <w:rPr>
                <w:rFonts w:ascii="Traditional Arabic" w:hAnsi="Traditional Arabic"/>
                <w:sz w:val="24"/>
              </w:rPr>
              <w:t>تصميم كامل بالصور والخطوط والألوان النهائية الجاهزة للتحويل لكود</w:t>
            </w:r>
          </w:p>
        </w:tc>
        <w:tc>
          <w:tcPr>
            <w:tcW w:type="dxa" w:w="3120"/>
          </w:tcPr>
          <w:p>
            <w:pPr>
              <w:jc w:val="left"/>
              <w:bidi/>
            </w:pPr>
            <w:r>
              <w:rPr>
                <w:rFonts w:ascii="Traditional Arabic" w:hAnsi="Traditional Arabic"/>
                <w:sz w:val="24"/>
              </w:rPr>
              <w:t>Figma, Sketch, Photoshop</w:t>
            </w:r>
          </w:p>
        </w:tc>
      </w:tr>
    </w:tbl>
    <w:p>
      <w:pPr>
        <w:spacing w:after="240" w:line="324" w:lineRule="auto"/>
        <w:jc w:val="both"/>
        <w:bidi/>
      </w:pPr>
      <w:r>
        <w:rPr>
          <w:rFonts w:ascii="Traditional Arabic" w:hAnsi="Traditional Arabic"/>
          <w:color w:val="2D3748"/>
          <w:sz w:val="30"/>
        </w:rPr>
        <w:t>تسمح هذه المنهجية المتدرجة للفرق البرمجية بالتأكد من صحة الفكرة والمنطق قبل الدخول في تفاصيل الألوان والتصميم الجمالي النهائي.</w:t>
      </w:r>
    </w:p>
    <w:p>
      <w:pPr>
        <w:spacing w:before="600"/>
        <w:jc w:val="center"/>
        <w:bidi/>
      </w:pPr>
      <w:r>
        <w:rPr>
          <w:rFonts w:ascii="Traditional Arabic" w:hAnsi="Traditional Arabic"/>
          <w:b/>
          <w:color w:val="2B579A"/>
          <w:sz w:val="26"/>
        </w:rPr>
        <w:t>[ الصفحة 3 ]</w:t>
      </w:r>
    </w:p>
    <w:p>
      <w:r>
        <w:br w:type="page"/>
      </w:r>
    </w:p>
    <w:p>
      <w:pPr>
        <w:spacing w:before="320" w:after="200"/>
        <w:jc w:val="right"/>
        <w:bidi/>
      </w:pPr>
      <w:r>
        <w:rPr>
          <w:rFonts w:ascii="Traditional Arabic" w:hAnsi="Traditional Arabic"/>
          <w:b/>
          <w:color w:val="1B365D"/>
          <w:sz w:val="44"/>
        </w:rPr>
        <w:t>ثانياً: أمثلة عملية ومقارنات تطبيقيّة</w:t>
      </w:r>
    </w:p>
    <w:p>
      <w:pPr>
        <w:spacing w:after="240" w:line="324" w:lineRule="auto"/>
        <w:jc w:val="both"/>
        <w:bidi/>
      </w:pPr>
      <w:r>
        <w:rPr>
          <w:rFonts w:ascii="Traditional Arabic" w:hAnsi="Traditional Arabic"/>
          <w:color w:val="2D3748"/>
          <w:sz w:val="30"/>
        </w:rPr>
        <w:t>يتضح الفرق الجوهري بين التخطيط المسبق والبدء العشوائي بالبرمجة عند النظر في حالات عملية واقعية من سوق العمل:</w:t>
      </w:r>
    </w:p>
    <w:p>
      <w:pPr>
        <w:spacing w:before="280" w:after="160"/>
        <w:jc w:val="right"/>
        <w:bidi/>
      </w:pPr>
      <w:r>
        <w:rPr>
          <w:rFonts w:ascii="Traditional Arabic" w:hAnsi="Traditional Arabic"/>
          <w:b/>
          <w:color w:val="2C5282"/>
          <w:sz w:val="36"/>
        </w:rPr>
        <w:t>1. تطبيقات المتاجر الإلكترونية (E-Commerce Store)</w:t>
      </w:r>
    </w:p>
    <w:p>
      <w:pPr>
        <w:spacing w:after="240" w:line="324" w:lineRule="auto"/>
        <w:jc w:val="both"/>
        <w:bidi/>
      </w:pPr>
      <w:r>
        <w:rPr>
          <w:rFonts w:ascii="Traditional Arabic" w:hAnsi="Traditional Arabic"/>
          <w:color w:val="2D3748"/>
          <w:sz w:val="30"/>
        </w:rPr>
        <w:t>إذا بدأ المطور ببرمجة المتجر مباشرة، قد يكتشف بعد أسبوعين من العمل أن صفحة المنتجات لا تحتوي على مسار عودة منطقي (Breadcrumbs) أو أن نموذج سلة الشراء معقد للغاية. التعديل البرمجي هنا يتطلب إعادة بناء الشفرات البرمجية وربط قواعد البيانات. أما إذا تم التخطيط مسبقاً عبر رسم المخطط، فسيتم اكتشاف هذا الخلل في جلسة مراجعة واحدة وتعديله في ثوانٍ.</w:t>
      </w:r>
    </w:p>
    <w:p>
      <w:pPr>
        <w:spacing w:before="280" w:after="160"/>
        <w:jc w:val="right"/>
        <w:bidi/>
      </w:pPr>
      <w:r>
        <w:rPr>
          <w:rFonts w:ascii="Traditional Arabic" w:hAnsi="Traditional Arabic"/>
          <w:b/>
          <w:color w:val="2C5282"/>
          <w:sz w:val="36"/>
        </w:rPr>
        <w:t>2. تنظيم مواقع المؤسسات والجامعات (Educational Platforms)</w:t>
      </w:r>
    </w:p>
    <w:p>
      <w:pPr>
        <w:spacing w:after="240" w:line="324" w:lineRule="auto"/>
        <w:jc w:val="both"/>
        <w:bidi/>
      </w:pPr>
      <w:r>
        <w:rPr>
          <w:rFonts w:ascii="Traditional Arabic" w:hAnsi="Traditional Arabic"/>
          <w:color w:val="2D3748"/>
          <w:sz w:val="30"/>
        </w:rPr>
        <w:t>تضم هذه المواقع مئات الصفحات والمستندات. يتيح إنشاء خريطة الموقع (Sitemap) وتحديد المجموعات الهيكلية الرئيسية تصنيف المحتوى بدقة، مما يسهل على الطلاب الوصول لجدول المحاضرات أو نتائج الامتحانات دون ضياع.</w:t>
      </w:r>
    </w:p>
    <w:p>
      <w:pPr>
        <w:spacing w:before="600"/>
        <w:jc w:val="center"/>
        <w:bidi/>
      </w:pPr>
      <w:r>
        <w:rPr>
          <w:rFonts w:ascii="Traditional Arabic" w:hAnsi="Traditional Arabic"/>
          <w:b/>
          <w:color w:val="2B579A"/>
          <w:sz w:val="26"/>
        </w:rPr>
        <w:t>[ الصفحة 4 ]</w:t>
      </w:r>
    </w:p>
    <w:p>
      <w:r>
        <w:br w:type="page"/>
      </w:r>
    </w:p>
    <w:p>
      <w:pPr>
        <w:spacing w:before="320" w:after="200"/>
        <w:jc w:val="right"/>
        <w:bidi/>
      </w:pPr>
      <w:r>
        <w:rPr>
          <w:rFonts w:ascii="Traditional Arabic" w:hAnsi="Traditional Arabic"/>
          <w:b/>
          <w:color w:val="1B365D"/>
          <w:sz w:val="44"/>
        </w:rPr>
        <w:t>ثالثاً: خطوات التخطيط الناجح للموقع الإلكتروني</w:t>
      </w:r>
    </w:p>
    <w:p>
      <w:pPr>
        <w:spacing w:after="240" w:line="324" w:lineRule="auto"/>
        <w:jc w:val="both"/>
        <w:bidi/>
      </w:pPr>
      <w:r>
        <w:rPr>
          <w:rFonts w:ascii="Traditional Arabic" w:hAnsi="Traditional Arabic"/>
          <w:color w:val="2D3748"/>
          <w:sz w:val="30"/>
        </w:rPr>
        <w:t>يمر التخطيط العلمي والمنهجي للمواقع الإلكترونية بخمس خطوات متتالية لضمان الوصول إلى منتج رقمي متكامل:</w:t>
      </w:r>
    </w:p>
    <w:p>
      <w:pPr>
        <w:spacing w:after="240" w:line="324" w:lineRule="auto"/>
        <w:jc w:val="both"/>
        <w:bidi/>
      </w:pPr>
      <w:r>
        <w:rPr>
          <w:rFonts w:ascii="Traditional Arabic" w:hAnsi="Traditional Arabic"/>
          <w:b/>
          <w:color w:val="1A202C"/>
          <w:sz w:val="30"/>
        </w:rPr>
        <w:t xml:space="preserve">1. تحديد الهدف والجمهور المستهدف (Goals &amp; Target Audience): </w:t>
      </w:r>
      <w:r>
        <w:rPr>
          <w:rFonts w:ascii="Traditional Arabic" w:hAnsi="Traditional Arabic"/>
          <w:color w:val="2D3748"/>
          <w:sz w:val="30"/>
        </w:rPr>
        <w:t>تحديد الغرض من الموقع والأجهزة المشغلة (أجهزة مكتبية أو هواتف محمولة).</w:t>
      </w:r>
    </w:p>
    <w:p>
      <w:pPr>
        <w:spacing w:after="240" w:line="324" w:lineRule="auto"/>
        <w:jc w:val="both"/>
        <w:bidi/>
      </w:pPr>
      <w:r>
        <w:rPr>
          <w:rFonts w:ascii="Traditional Arabic" w:hAnsi="Traditional Arabic"/>
          <w:b/>
          <w:color w:val="1A202C"/>
          <w:sz w:val="30"/>
        </w:rPr>
        <w:t xml:space="preserve">2. رسم خريطة الموقع (Sitemap): </w:t>
      </w:r>
      <w:r>
        <w:rPr>
          <w:rFonts w:ascii="Traditional Arabic" w:hAnsi="Traditional Arabic"/>
          <w:color w:val="2D3748"/>
          <w:sz w:val="30"/>
        </w:rPr>
        <w:t>بناء شجرة هيكلية تعكس جميع صفحات الموقع والعلاقات التفرعية بينها.</w:t>
      </w:r>
    </w:p>
    <w:p>
      <w:pPr>
        <w:spacing w:after="240" w:line="324" w:lineRule="auto"/>
        <w:jc w:val="both"/>
        <w:bidi/>
      </w:pPr>
      <w:r>
        <w:rPr>
          <w:rFonts w:ascii="Traditional Arabic" w:hAnsi="Traditional Arabic"/>
          <w:b/>
          <w:color w:val="1A202C"/>
          <w:sz w:val="30"/>
        </w:rPr>
        <w:t xml:space="preserve">3. إنشاء التخطيط الهيكلي (Wireframing): </w:t>
      </w:r>
      <w:r>
        <w:rPr>
          <w:rFonts w:ascii="Traditional Arabic" w:hAnsi="Traditional Arabic"/>
          <w:color w:val="2D3748"/>
          <w:sz w:val="30"/>
        </w:rPr>
        <w:t>رسم مسودة سلكية لكل صفحة محددة بها القوائم، النصوص، ومواضع الصور والأزرار.</w:t>
      </w:r>
    </w:p>
    <w:p>
      <w:pPr>
        <w:spacing w:after="240" w:line="324" w:lineRule="auto"/>
        <w:jc w:val="both"/>
        <w:bidi/>
      </w:pPr>
      <w:r>
        <w:rPr>
          <w:rFonts w:ascii="Traditional Arabic" w:hAnsi="Traditional Arabic"/>
          <w:b/>
          <w:color w:val="1A202C"/>
          <w:sz w:val="30"/>
        </w:rPr>
        <w:t xml:space="preserve">4. اختبار النموذج التفاعلي (Usability Testing): </w:t>
      </w:r>
      <w:r>
        <w:rPr>
          <w:rFonts w:ascii="Traditional Arabic" w:hAnsi="Traditional Arabic"/>
          <w:color w:val="2D3748"/>
          <w:sz w:val="30"/>
        </w:rPr>
        <w:t>تجربة المخطط على عينة من المستخدمين للتأكد من سهولة التنقل.</w:t>
      </w:r>
    </w:p>
    <w:p>
      <w:pPr>
        <w:spacing w:after="240" w:line="324" w:lineRule="auto"/>
        <w:jc w:val="both"/>
        <w:bidi/>
      </w:pPr>
      <w:r>
        <w:rPr>
          <w:rFonts w:ascii="Traditional Arabic" w:hAnsi="Traditional Arabic"/>
          <w:b/>
          <w:color w:val="1A202C"/>
          <w:sz w:val="30"/>
        </w:rPr>
        <w:t xml:space="preserve">5. تسليم المخطط لفريق البرمجة (Handoff to Developers): </w:t>
      </w:r>
      <w:r>
        <w:rPr>
          <w:rFonts w:ascii="Traditional Arabic" w:hAnsi="Traditional Arabic"/>
          <w:color w:val="2D3748"/>
          <w:sz w:val="30"/>
        </w:rPr>
        <w:t>تحويل المخطط الجاهز والموافق عليه إلى مطوري الأكواد (Frontend Developers).</w:t>
      </w:r>
    </w:p>
    <w:p>
      <w:pPr>
        <w:spacing w:before="320" w:after="200"/>
        <w:jc w:val="right"/>
        <w:bidi/>
      </w:pPr>
      <w:r>
        <w:rPr>
          <w:rFonts w:ascii="Traditional Arabic" w:hAnsi="Traditional Arabic"/>
          <w:b/>
          <w:color w:val="1B365D"/>
          <w:sz w:val="44"/>
        </w:rPr>
        <w:t>الخاتمة</w:t>
      </w:r>
    </w:p>
    <w:p>
      <w:pPr>
        <w:spacing w:after="240" w:line="324" w:lineRule="auto"/>
        <w:jc w:val="both"/>
        <w:bidi/>
      </w:pPr>
      <w:r>
        <w:rPr>
          <w:rFonts w:ascii="Traditional Arabic" w:hAnsi="Traditional Arabic"/>
          <w:color w:val="2D3748"/>
          <w:sz w:val="30"/>
        </w:rPr>
        <w:t>في الختام، يُثبت التخطيط للمواقع أنه ليس مجرد خطوة إضافية أو رفاهية تصميمية، بل هو الركيزة الأساسية والهندسية التي تضمن نجاح أهداف الموقع الإلكتروني. إن رسم شكل الموقع وتنظيم صفحاته قبل كتابة سطر كود واحد يحمي المشروع من مخاطر إعادة العمل، ويوفر مبالغ طائلة وساعات عمل طويلة، ويكفل للعميل والزائر تجربة تسوق وتصفح سلسة ومثمرة.</w:t>
      </w:r>
    </w:p>
    <w:p>
      <w:pPr>
        <w:spacing w:before="320" w:after="200"/>
        <w:jc w:val="right"/>
        <w:bidi/>
      </w:pPr>
      <w:r>
        <w:rPr>
          <w:rFonts w:ascii="Traditional Arabic" w:hAnsi="Traditional Arabic"/>
          <w:b/>
          <w:color w:val="1B365D"/>
          <w:sz w:val="44"/>
        </w:rPr>
        <w:t>المراجع والمصادر</w:t>
      </w:r>
    </w:p>
    <w:p>
      <w:pPr>
        <w:spacing w:after="80"/>
        <w:jc w:val="left"/>
      </w:pPr>
      <w:r>
        <w:rPr>
          <w:rFonts w:ascii="Calibri" w:hAnsi="Calibri"/>
          <w:color w:val="4A5568"/>
          <w:sz w:val="22"/>
        </w:rPr>
        <w:t>1. Garrett, J. J. (2010). The Elements of User Experience: User-Centered Design for the Web and Beyond (2nd ed.). New Riders.</w:t>
      </w:r>
    </w:p>
    <w:p>
      <w:pPr>
        <w:spacing w:after="80"/>
        <w:jc w:val="left"/>
      </w:pPr>
      <w:r>
        <w:rPr>
          <w:rFonts w:ascii="Calibri" w:hAnsi="Calibri"/>
          <w:color w:val="4A5568"/>
          <w:sz w:val="22"/>
        </w:rPr>
        <w:t>2. Rosenfeld, L., Morville, P., &amp; Arango, J. (2015). Information Architecture: For the Web and Beyond (4th ed.). O'Reilly Media.</w:t>
      </w:r>
    </w:p>
    <w:p>
      <w:pPr>
        <w:spacing w:after="80"/>
        <w:jc w:val="left"/>
      </w:pPr>
      <w:r>
        <w:rPr>
          <w:rFonts w:ascii="Calibri" w:hAnsi="Calibri"/>
          <w:color w:val="4A5568"/>
          <w:sz w:val="22"/>
        </w:rPr>
        <w:t>3. Krug, S. (2014). Don't Make Me Think, Revisited: A Common Sense Approach to Web Usability (3rd ed.). New Riders.</w:t>
      </w:r>
    </w:p>
    <w:p>
      <w:pPr>
        <w:spacing w:after="80"/>
        <w:jc w:val="left"/>
      </w:pPr>
      <w:r>
        <w:rPr>
          <w:rFonts w:ascii="Calibri" w:hAnsi="Calibri"/>
          <w:color w:val="4A5568"/>
          <w:sz w:val="22"/>
        </w:rPr>
        <w:t>4. Tidwell, J., Brewer, C., &amp; Valencia-Valencia, A. (2020). Designing Interfaces: Patterns for Effective Interaction Design (3rd ed.). O'Reilly Media.</w:t>
      </w:r>
    </w:p>
    <w:p>
      <w:pPr>
        <w:spacing w:after="80"/>
        <w:jc w:val="left"/>
      </w:pPr>
      <w:r>
        <w:rPr>
          <w:rFonts w:ascii="Calibri" w:hAnsi="Calibri"/>
          <w:color w:val="4A5568"/>
          <w:sz w:val="22"/>
        </w:rPr>
        <w:t>5. Nielsen Norman Group (NN/g) - Articles on Web Architecture and Wireframing Best Practices (2024).</w:t>
      </w:r>
    </w:p>
    <w:p>
      <w:pPr>
        <w:spacing w:before="400"/>
        <w:jc w:val="center"/>
        <w:bidi/>
      </w:pPr>
      <w:r>
        <w:rPr>
          <w:rFonts w:ascii="Traditional Arabic" w:hAnsi="Traditional Arabic"/>
          <w:b/>
          <w:color w:val="2B579A"/>
          <w:sz w:val="26"/>
        </w:rPr>
        <w:t>[ الصفحة 5 ]</w:t>
      </w:r>
    </w:p>
    <w:sectPr w:rsidR="00FC693F" w:rsidRPr="0006063C" w:rsidSect="00034616">
      <w:footerReference w:type="default" r:id="rId9"/>
      <w:pgSz w:w="12240" w:h="15840"/>
      <w:pgMar w:top="1440" w:right="1440" w:bottom="1440"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