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66"/>
        <w:gridCol w:w="850"/>
        <w:gridCol w:w="8381"/>
        <w:gridCol w:w="1282"/>
      </w:tblGrid>
      <w:tr>
        <w:trPr>
          <w:trHeight w:val="436" w:hRule="atLeast"/>
        </w:trPr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5" w:hRule="atLeast"/>
        </w:trPr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18571" cy="631825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18571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0" w:hRule="atLeast"/>
        </w:trPr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232"/>
            </w:tblGrid>
            <w:tr>
              <w:trPr>
                <w:trHeight w:val="562" w:hRule="atLeast"/>
              </w:trPr>
              <w:tc>
                <w:tcPr>
                  <w:tcW w:w="92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i/>
                      <w:color w:val="A52A2A"/>
                      <w:sz w:val="36"/>
                      <w:u w:val="single"/>
                    </w:rPr>
                    <w:t xml:space="preserve">Question and Student Answers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3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9" w:hRule="atLeast"/>
        </w:trPr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246"/>
              <w:gridCol w:w="1976"/>
              <w:gridCol w:w="2010"/>
            </w:tblGrid>
            <w:tr>
              <w:trPr>
                <w:trHeight w:val="367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Question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Student Answer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model ans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DBMS provides a convenient and efficient environment.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Which of the following isn’t a level of abstraction?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 level that describes how a record is stored.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 logical structure of the database.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Consider money is transferred from (1)account-A to account-B and (2) account-B to 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br/>
                    <w:t xml:space="preserve">account-A. Which of the following form a transaction?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br/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 means that the data used during the execution of a transaction cannot be used 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br/>
                    <w:t xml:space="preserve">by a second transaction until the first one is completed.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br/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 database is called “self-describing” because it contains a description of itself.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Microsoft Access is an enterprise-class database product.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false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XML family of standards is very important in database processing today.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24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Enterprise Resource Planning (ERP) is an example of a single user database.</w:t>
                  </w:r>
                </w:p>
              </w:tc>
              <w:tc>
                <w:tcPr>
                  <w:tcW w:w="19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20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false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3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214" w:h="16837"/>
      <w:pgMar w:top="566" w:right="566" w:bottom="566" w:left="566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StudentAnswers</dc:title>
</cp:coreProperties>
</file>