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80" w:line="24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1a1a1a"/>
          <w:sz w:val="40"/>
          <w:szCs w:val="40"/>
          <w:rtl w:val="0"/>
        </w:rPr>
        <w:t xml:space="preserve">The Conversion Engine</w:t>
      </w:r>
      <w:r w:rsidDel="00000000" w:rsidR="00000000" w:rsidRPr="00000000">
        <w:rPr>
          <w:rtl w:val="0"/>
        </w:rPr>
      </w:r>
    </w:p>
    <w:p w:rsidR="00000000" w:rsidDel="00000000" w:rsidP="00000000" w:rsidRDefault="00000000" w:rsidRPr="00000000" w14:paraId="00000002">
      <w:pPr>
        <w:spacing w:after="400" w:line="24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i w:val="1"/>
          <w:iCs w:val="1"/>
          <w:color w:val="6b6b6b"/>
          <w:rtl w:val="0"/>
        </w:rPr>
        <w:t xml:space="preserve">A Production-Grade SMS and CRM Agent for B2B Sales Development  ·  Acme ComplianceOS Edition</w:t>
      </w:r>
      <w:r w:rsidDel="00000000" w:rsidR="00000000" w:rsidRPr="00000000">
        <w:rPr>
          <w:rtl w:val="0"/>
        </w:rPr>
      </w:r>
    </w:p>
    <w:p w:rsidR="00000000" w:rsidDel="00000000" w:rsidP="00000000" w:rsidRDefault="00000000" w:rsidRPr="00000000" w14:paraId="00000003">
      <w:pPr>
        <w:pStyle w:val="Heading1"/>
        <w:keepNext w:val="0"/>
        <w:keepLines w:val="0"/>
        <w:spacing w:after="180" w:before="480" w:line="240" w:lineRule="auto"/>
        <w:rPr>
          <w:rFonts w:ascii="Montserrat" w:cs="Montserrat" w:eastAsia="Montserrat" w:hAnsi="Montserrat"/>
          <w:b w:val="1"/>
          <w:bCs w:val="1"/>
          <w:color w:val="1a1a1a"/>
          <w:sz w:val="32"/>
          <w:szCs w:val="32"/>
        </w:rPr>
      </w:pPr>
      <w:r w:rsidDel="00000000" w:rsidR="00000000" w:rsidRPr="00000000">
        <w:rPr>
          <w:rFonts w:ascii="Montserrat" w:cs="Montserrat" w:eastAsia="Montserrat" w:hAnsi="Montserrat"/>
          <w:b w:val="1"/>
          <w:bCs w:val="1"/>
          <w:color w:val="1a1a1a"/>
          <w:sz w:val="32"/>
          <w:szCs w:val="32"/>
          <w:rtl w:val="0"/>
        </w:rPr>
        <w:t xml:space="preserve">Summary</w:t>
      </w:r>
    </w:p>
    <w:p w:rsidR="00000000" w:rsidDel="00000000" w:rsidP="00000000" w:rsidRDefault="00000000" w:rsidRPr="00000000" w14:paraId="00000004">
      <w:pPr>
        <w:spacing w:after="80" w:before="80" w:line="30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You are deployed to a hypothetical mid-market B2B SaaS company selling compliance software to financial institutions. Inbound leads arrive from the website, from a Crunchbase-seeded outbound campaign, and from a partner referral stream. The company loses roughly 60% of inbound leads to response-time failures and qualification errors. Your job, in one week, is to build the agent that handles the first 72 hours of every new lead — running an SMS nurture sequence, qualifying the lead against real Crunchbase firmographic data, checking the prospect's regulatory exposure against CFPB complaint history, booking a discovery call into a real calendar, and writing every interaction back into HubSpot as a structured record.</w:t>
      </w:r>
    </w:p>
    <w:p w:rsidR="00000000" w:rsidDel="00000000" w:rsidP="00000000" w:rsidRDefault="00000000" w:rsidRPr="00000000" w14:paraId="00000005">
      <w:pPr>
        <w:spacing w:after="80" w:before="80" w:line="30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Voice is the bonus tier. Trainees who complete the SMS and CRM core by Day 5 may add a voice channel on Days 6–7. The baseline is what exists today in the market. The benchmark is τ²-Bench. Every number in your final memo must resolve to a trace file a reviewer can open and read.</w:t>
      </w:r>
    </w:p>
    <w:p w:rsidR="00000000" w:rsidDel="00000000" w:rsidP="00000000" w:rsidRDefault="00000000" w:rsidRPr="00000000" w14:paraId="00000006">
      <w:pPr>
        <w:pStyle w:val="Heading1"/>
        <w:keepNext w:val="0"/>
        <w:keepLines w:val="0"/>
        <w:spacing w:after="180" w:before="480" w:line="240" w:lineRule="auto"/>
        <w:rPr>
          <w:rFonts w:ascii="Montserrat" w:cs="Montserrat" w:eastAsia="Montserrat" w:hAnsi="Montserrat"/>
          <w:b w:val="1"/>
          <w:bCs w:val="1"/>
          <w:color w:val="1a1a1a"/>
          <w:sz w:val="32"/>
          <w:szCs w:val="32"/>
        </w:rPr>
      </w:pPr>
      <w:r w:rsidDel="00000000" w:rsidR="00000000" w:rsidRPr="00000000">
        <w:rPr>
          <w:rFonts w:ascii="Montserrat" w:cs="Montserrat" w:eastAsia="Montserrat" w:hAnsi="Montserrat"/>
          <w:b w:val="1"/>
          <w:bCs w:val="1"/>
          <w:color w:val="1a1a1a"/>
          <w:sz w:val="32"/>
          <w:szCs w:val="32"/>
          <w:rtl w:val="0"/>
        </w:rPr>
        <w:t xml:space="preserve">The Business Context</w:t>
      </w:r>
    </w:p>
    <w:p w:rsidR="00000000" w:rsidDel="00000000" w:rsidP="00000000" w:rsidRDefault="00000000" w:rsidRPr="00000000" w14:paraId="00000007">
      <w:pPr>
        <w:pStyle w:val="Heading2"/>
        <w:keepNext w:val="0"/>
        <w:keepLines w:val="0"/>
        <w:spacing w:before="320" w:line="240" w:lineRule="auto"/>
        <w:rPr>
          <w:rFonts w:ascii="Montserrat" w:cs="Montserrat" w:eastAsia="Montserrat" w:hAnsi="Montserrat"/>
          <w:b w:val="1"/>
          <w:bCs w:val="1"/>
          <w:color w:val="1a1a1a"/>
          <w:sz w:val="24"/>
          <w:szCs w:val="24"/>
        </w:rPr>
      </w:pPr>
      <w:r w:rsidDel="00000000" w:rsidR="00000000" w:rsidRPr="00000000">
        <w:rPr>
          <w:rFonts w:ascii="Montserrat" w:cs="Montserrat" w:eastAsia="Montserrat" w:hAnsi="Montserrat"/>
          <w:b w:val="1"/>
          <w:bCs w:val="1"/>
          <w:color w:val="1a1a1a"/>
          <w:sz w:val="24"/>
          <w:szCs w:val="24"/>
          <w:rtl w:val="0"/>
        </w:rPr>
        <w:t xml:space="preserve">The Hypothetical Client</w:t>
      </w:r>
    </w:p>
    <w:p w:rsidR="00000000" w:rsidDel="00000000" w:rsidP="00000000" w:rsidRDefault="00000000" w:rsidRPr="00000000" w14:paraId="00000008">
      <w:pPr>
        <w:spacing w:after="80" w:before="80" w:line="30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Acme ComplianceOS is a fictitious but realistic mid-market SaaS company. They sell a compliance automation platform to community banks, credit unions, and regional financial services firms in the United States. Average contract value is $60,000 annually. Sales cycle averages 90 days. The SDR team of six handles roughly 120 qualified inbound leads per month and an outbound outreach volume of around 400 accounts per month.</w:t>
      </w:r>
    </w:p>
    <w:p w:rsidR="00000000" w:rsidDel="00000000" w:rsidP="00000000" w:rsidRDefault="00000000" w:rsidRPr="00000000" w14:paraId="00000009">
      <w:pPr>
        <w:spacing w:after="80" w:before="80" w:line="30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Their current stack: HubSpot CRM, a marketing automation layer pushing emails, a shared inbox for inbound, a Google Voice number that rings whichever SDR is available, and a manual process for pulling Crunchbase firmographic data into the CRM when an SDR happens to have time. Their current pain is what every mid-market B2B company's current pain looks like in April 2026: slow response times on inbound, inconsistent qualification, and a long tail of leads that go cold before anyone touches them.</w:t>
      </w:r>
    </w:p>
    <w:p w:rsidR="00000000" w:rsidDel="00000000" w:rsidP="00000000" w:rsidRDefault="00000000" w:rsidRPr="00000000" w14:paraId="0000000A">
      <w:pPr>
        <w:pStyle w:val="Heading3"/>
        <w:keepNext w:val="0"/>
        <w:keepLines w:val="0"/>
        <w:spacing w:before="240" w:line="240" w:lineRule="auto"/>
        <w:rPr>
          <w:rFonts w:ascii="Montserrat" w:cs="Montserrat" w:eastAsia="Montserrat" w:hAnsi="Montserrat"/>
          <w:b w:val="1"/>
          <w:bCs w:val="1"/>
          <w:color w:val="3f3f3f"/>
          <w:sz w:val="20"/>
          <w:szCs w:val="20"/>
        </w:rPr>
      </w:pPr>
      <w:r w:rsidDel="00000000" w:rsidR="00000000" w:rsidRPr="00000000">
        <w:rPr>
          <w:rFonts w:ascii="Montserrat" w:cs="Montserrat" w:eastAsia="Montserrat" w:hAnsi="Montserrat"/>
          <w:b w:val="1"/>
          <w:bCs w:val="1"/>
          <w:color w:val="3f3f3f"/>
          <w:sz w:val="20"/>
          <w:szCs w:val="20"/>
          <w:rtl w:val="0"/>
        </w:rPr>
        <w:t xml:space="preserve">Baseline numbers — public references</w:t>
      </w:r>
    </w:p>
    <w:p w:rsidR="00000000" w:rsidDel="00000000" w:rsidP="00000000" w:rsidRDefault="00000000" w:rsidRPr="00000000" w14:paraId="0000000B">
      <w:pPr>
        <w:spacing w:after="80" w:before="80" w:line="30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These numbers are taken from public industry research and serve as the reference distribution for your final memo. Over-claiming against these is penalized. Under-claiming without explanation is penalized.</w:t>
      </w:r>
    </w:p>
    <w:p w:rsidR="00000000" w:rsidDel="00000000" w:rsidP="00000000" w:rsidRDefault="00000000" w:rsidRPr="00000000" w14:paraId="0000000C">
      <w:pPr>
        <w:spacing w:before="60" w:line="240" w:lineRule="auto"/>
        <w:rPr>
          <w:rFonts w:ascii="Montserrat" w:cs="Montserrat" w:eastAsia="Montserrat" w:hAnsi="Montserrat"/>
          <w:color w:val="2b2b2b"/>
          <w:sz w:val="20"/>
          <w:szCs w:val="20"/>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3200"/>
        <w:gridCol w:w="2560"/>
        <w:tblGridChange w:id="0">
          <w:tblGrid>
            <w:gridCol w:w="3600"/>
            <w:gridCol w:w="3200"/>
            <w:gridCol w:w="2560"/>
          </w:tblGrid>
        </w:tblGridChange>
      </w:tblGrid>
      <w:tr>
        <w:trPr>
          <w:cantSplit w:val="0"/>
          <w:tblHeader w:val="1"/>
        </w:trPr>
        <w:tc>
          <w:tcPr>
            <w:tcBorders>
              <w:top w:color="d4d4d4" w:space="0" w:sz="4" w:val="single"/>
              <w:left w:color="d4d4d4" w:space="0" w:sz="4" w:val="single"/>
              <w:bottom w:color="d4d4d4" w:space="0" w:sz="4" w:val="single"/>
              <w:right w:color="d4d4d4" w:space="0" w:sz="4" w:val="single"/>
            </w:tcBorders>
            <w:shd w:fill="1a1a1a" w:val="clear"/>
            <w:tcMar>
              <w:top w:w="100.0" w:type="dxa"/>
              <w:left w:w="140.0" w:type="dxa"/>
              <w:bottom w:w="100.0" w:type="dxa"/>
              <w:right w:w="140.0" w:type="dxa"/>
            </w:tcMar>
          </w:tcPr>
          <w:p w:rsidR="00000000" w:rsidDel="00000000" w:rsidP="00000000" w:rsidRDefault="00000000" w:rsidRPr="00000000" w14:paraId="0000000D">
            <w:pPr>
              <w:spacing w:line="24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ffffff"/>
                <w:sz w:val="18"/>
                <w:szCs w:val="18"/>
                <w:rtl w:val="0"/>
              </w:rPr>
              <w:t xml:space="preserve">Metric</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1a1a1a" w:val="clear"/>
            <w:tcMar>
              <w:top w:w="100.0" w:type="dxa"/>
              <w:left w:w="140.0" w:type="dxa"/>
              <w:bottom w:w="100.0" w:type="dxa"/>
              <w:right w:w="140.0" w:type="dxa"/>
            </w:tcMar>
          </w:tcPr>
          <w:p w:rsidR="00000000" w:rsidDel="00000000" w:rsidP="00000000" w:rsidRDefault="00000000" w:rsidRPr="00000000" w14:paraId="0000000E">
            <w:pPr>
              <w:spacing w:line="24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ffffff"/>
                <w:sz w:val="18"/>
                <w:szCs w:val="18"/>
                <w:rtl w:val="0"/>
              </w:rPr>
              <w:t xml:space="preserve">Industry Reference</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1a1a1a" w:val="clear"/>
            <w:tcMar>
              <w:top w:w="100.0" w:type="dxa"/>
              <w:left w:w="140.0" w:type="dxa"/>
              <w:bottom w:w="100.0" w:type="dxa"/>
              <w:right w:w="140.0" w:type="dxa"/>
            </w:tcMar>
          </w:tcPr>
          <w:p w:rsidR="00000000" w:rsidDel="00000000" w:rsidP="00000000" w:rsidRDefault="00000000" w:rsidRPr="00000000" w14:paraId="0000000F">
            <w:pPr>
              <w:spacing w:line="24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ffffff"/>
                <w:sz w:val="18"/>
                <w:szCs w:val="18"/>
                <w:rtl w:val="0"/>
              </w:rPr>
              <w:t xml:space="preserve">Source</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10">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Inbound lead response time (human baseline)</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11">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42 minutes median; 17 hours average</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12">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HBR / Lead Response Management Study</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13">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Response-within-5-minutes conversion lift</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14">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21× more likely to qualify</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15">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InsideSales.com / MIT Lead Response Study</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16">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Speed-to-lead human labor cost</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17">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~$42 per SDR-hour loaded cost (US mid-market)</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18">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Bureau of Labor Statistics / RepVue 2026</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19">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AI customer-service ROI (published range)</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1A">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$3.50 return per $1; leaders hit 8×</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1B">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Deloitte State of AI 2026</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1C">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B2B conversational agent pass@1 ceiling</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1D">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~42% on τ²-Bench retail; ~30% on telecom</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1E">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τ²-Bench leaderboard, Feb 2026</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1F">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HubSpot Breeze outcome-based reference pricing</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20">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$0.50 per resolved conversation; $1 per qualified lead</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21">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HubSpot announcement April 14, 2026</w:t>
            </w:r>
            <w:r w:rsidDel="00000000" w:rsidR="00000000" w:rsidRPr="00000000">
              <w:rPr>
                <w:rtl w:val="0"/>
              </w:rPr>
            </w:r>
          </w:p>
        </w:tc>
      </w:tr>
    </w:tbl>
    <w:p w:rsidR="00000000" w:rsidDel="00000000" w:rsidP="00000000" w:rsidRDefault="00000000" w:rsidRPr="00000000" w14:paraId="00000022">
      <w:pPr>
        <w:pStyle w:val="Heading2"/>
        <w:keepNext w:val="0"/>
        <w:keepLines w:val="0"/>
        <w:spacing w:before="320" w:line="240" w:lineRule="auto"/>
        <w:rPr>
          <w:rFonts w:ascii="Montserrat" w:cs="Montserrat" w:eastAsia="Montserrat" w:hAnsi="Montserrat"/>
          <w:b w:val="1"/>
          <w:bCs w:val="1"/>
          <w:color w:val="1a1a1a"/>
          <w:sz w:val="24"/>
          <w:szCs w:val="24"/>
        </w:rPr>
      </w:pPr>
      <w:r w:rsidDel="00000000" w:rsidR="00000000" w:rsidRPr="00000000">
        <w:rPr>
          <w:rFonts w:ascii="Montserrat" w:cs="Montserrat" w:eastAsia="Montserrat" w:hAnsi="Montserrat"/>
          <w:b w:val="1"/>
          <w:bCs w:val="1"/>
          <w:color w:val="1a1a1a"/>
          <w:sz w:val="24"/>
          <w:szCs w:val="24"/>
          <w:rtl w:val="0"/>
        </w:rPr>
        <w:t xml:space="preserve">The User Personas</w:t>
      </w:r>
    </w:p>
    <w:p w:rsidR="00000000" w:rsidDel="00000000" w:rsidP="00000000" w:rsidRDefault="00000000" w:rsidRPr="00000000" w14:paraId="00000023">
      <w:pPr>
        <w:spacing w:after="80" w:before="80" w:line="30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Three users interact with your system. Each has different tolerance levels and different success criteria.</w:t>
      </w:r>
    </w:p>
    <w:p w:rsidR="00000000" w:rsidDel="00000000" w:rsidP="00000000" w:rsidRDefault="00000000" w:rsidRPr="00000000" w14:paraId="00000024">
      <w:pPr>
        <w:spacing w:before="60" w:line="240" w:lineRule="auto"/>
        <w:rPr>
          <w:rFonts w:ascii="Montserrat" w:cs="Montserrat" w:eastAsia="Montserrat" w:hAnsi="Montserrat"/>
          <w:color w:val="2b2b2b"/>
          <w:sz w:val="20"/>
          <w:szCs w:val="20"/>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000"/>
        <w:gridCol w:w="3560"/>
        <w:tblGridChange w:id="0">
          <w:tblGrid>
            <w:gridCol w:w="2800"/>
            <w:gridCol w:w="3000"/>
            <w:gridCol w:w="3560"/>
          </w:tblGrid>
        </w:tblGridChange>
      </w:tblGrid>
      <w:tr>
        <w:trPr>
          <w:cantSplit w:val="0"/>
          <w:tblHeader w:val="1"/>
        </w:trPr>
        <w:tc>
          <w:tcPr>
            <w:tcBorders>
              <w:top w:color="d4d4d4" w:space="0" w:sz="4" w:val="single"/>
              <w:left w:color="d4d4d4" w:space="0" w:sz="4" w:val="single"/>
              <w:bottom w:color="d4d4d4" w:space="0" w:sz="4" w:val="single"/>
              <w:right w:color="d4d4d4" w:space="0" w:sz="4" w:val="single"/>
            </w:tcBorders>
            <w:shd w:fill="1a1a1a" w:val="clear"/>
            <w:tcMar>
              <w:top w:w="100.0" w:type="dxa"/>
              <w:left w:w="140.0" w:type="dxa"/>
              <w:bottom w:w="100.0" w:type="dxa"/>
              <w:right w:w="140.0" w:type="dxa"/>
            </w:tcMar>
          </w:tcPr>
          <w:p w:rsidR="00000000" w:rsidDel="00000000" w:rsidP="00000000" w:rsidRDefault="00000000" w:rsidRPr="00000000" w14:paraId="00000025">
            <w:pPr>
              <w:spacing w:line="24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ffffff"/>
                <w:sz w:val="18"/>
                <w:szCs w:val="18"/>
                <w:rtl w:val="0"/>
              </w:rPr>
              <w:t xml:space="preserve">Persona</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1a1a1a" w:val="clear"/>
            <w:tcMar>
              <w:top w:w="100.0" w:type="dxa"/>
              <w:left w:w="140.0" w:type="dxa"/>
              <w:bottom w:w="100.0" w:type="dxa"/>
              <w:right w:w="140.0" w:type="dxa"/>
            </w:tcMar>
          </w:tcPr>
          <w:p w:rsidR="00000000" w:rsidDel="00000000" w:rsidP="00000000" w:rsidRDefault="00000000" w:rsidRPr="00000000" w14:paraId="00000026">
            <w:pPr>
              <w:spacing w:line="24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ffffff"/>
                <w:sz w:val="18"/>
                <w:szCs w:val="18"/>
                <w:rtl w:val="0"/>
              </w:rPr>
              <w:t xml:space="preserve">Channel</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1a1a1a" w:val="clear"/>
            <w:tcMar>
              <w:top w:w="100.0" w:type="dxa"/>
              <w:left w:w="140.0" w:type="dxa"/>
              <w:bottom w:w="100.0" w:type="dxa"/>
              <w:right w:w="140.0" w:type="dxa"/>
            </w:tcMar>
          </w:tcPr>
          <w:p w:rsidR="00000000" w:rsidDel="00000000" w:rsidP="00000000" w:rsidRDefault="00000000" w:rsidRPr="00000000" w14:paraId="00000027">
            <w:pPr>
              <w:spacing w:line="24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ffffff"/>
                <w:sz w:val="18"/>
                <w:szCs w:val="18"/>
                <w:rtl w:val="0"/>
              </w:rPr>
              <w:t xml:space="preserve">What success looks like</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28">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Inbound buyer (Michelle, VP Compliance at an $800M credit union)</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29">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Submits a website form after seeing an ad. Gets an SMS reply within two minutes.</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2A">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Agent qualifies her in three to five SMS turns, books a real time slot with an SDR, and sends a calendar invite before she closes the browser tab.</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2B">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Crunchbase-sourced outbound target (Robert, COO at a community bank)</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2C">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Receives a cold SMS at 10:47 AM on a Tuesday. Cautiously curious.</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2D">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SMS sequence adapts to his replies, respects TCPA and STOP commands, correctly references his bank's recent CFPB complaint volume without over-claiming, and routes to a human if he asks anything requiring judgment.</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2E">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Internal SDR (Danielle, 18 months tenure)</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2F">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Logs into HubSpot Monday morning. Wants the system to have done work over the weekend.</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30">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HubSpot shows 14 new qualified leads, each with firmographic record, regulatory-exposure note, SMS transcript, and booked meeting if applicable. Zero leads with stale or missing data.</w:t>
            </w:r>
            <w:r w:rsidDel="00000000" w:rsidR="00000000" w:rsidRPr="00000000">
              <w:rPr>
                <w:rtl w:val="0"/>
              </w:rPr>
            </w:r>
          </w:p>
        </w:tc>
      </w:tr>
    </w:tbl>
    <w:p w:rsidR="00000000" w:rsidDel="00000000" w:rsidP="00000000" w:rsidRDefault="00000000" w:rsidRPr="00000000" w14:paraId="00000031">
      <w:pPr>
        <w:spacing w:line="240" w:lineRule="auto"/>
        <w:rPr>
          <w:rFonts w:ascii="Montserrat" w:cs="Montserrat" w:eastAsia="Montserrat" w:hAnsi="Montserrat"/>
          <w:color w:val="2b2b2b"/>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keepNext w:val="0"/>
        <w:keepLines w:val="0"/>
        <w:spacing w:after="180" w:before="480" w:line="240" w:lineRule="auto"/>
        <w:rPr>
          <w:rFonts w:ascii="Montserrat" w:cs="Montserrat" w:eastAsia="Montserrat" w:hAnsi="Montserrat"/>
          <w:b w:val="1"/>
          <w:bCs w:val="1"/>
          <w:color w:val="1a1a1a"/>
          <w:sz w:val="32"/>
          <w:szCs w:val="32"/>
        </w:rPr>
      </w:pPr>
      <w:r w:rsidDel="00000000" w:rsidR="00000000" w:rsidRPr="00000000">
        <w:rPr>
          <w:rFonts w:ascii="Montserrat" w:cs="Montserrat" w:eastAsia="Montserrat" w:hAnsi="Montserrat"/>
          <w:b w:val="1"/>
          <w:bCs w:val="1"/>
          <w:color w:val="1a1a1a"/>
          <w:sz w:val="32"/>
          <w:szCs w:val="32"/>
          <w:rtl w:val="0"/>
        </w:rPr>
        <w:t xml:space="preserve">Sales Jargon, Strategies, and Automation</w:t>
      </w:r>
    </w:p>
    <w:p w:rsidR="00000000" w:rsidDel="00000000" w:rsidP="00000000" w:rsidRDefault="00000000" w:rsidRPr="00000000" w14:paraId="00000033">
      <w:pPr>
        <w:spacing w:after="80" w:before="80" w:line="30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This section summarizes essential concepts, jargon, and strategies for B2B sales development, drawing from industry research and the technical requirements of this challenge.</w:t>
      </w:r>
    </w:p>
    <w:p w:rsidR="00000000" w:rsidDel="00000000" w:rsidP="00000000" w:rsidRDefault="00000000" w:rsidRPr="00000000" w14:paraId="00000034">
      <w:pPr>
        <w:pStyle w:val="Heading2"/>
        <w:keepNext w:val="0"/>
        <w:keepLines w:val="0"/>
        <w:spacing w:before="320" w:line="240" w:lineRule="auto"/>
        <w:rPr>
          <w:rFonts w:ascii="Montserrat" w:cs="Montserrat" w:eastAsia="Montserrat" w:hAnsi="Montserrat"/>
          <w:b w:val="1"/>
          <w:bCs w:val="1"/>
          <w:color w:val="1a1a1a"/>
          <w:sz w:val="24"/>
          <w:szCs w:val="24"/>
        </w:rPr>
      </w:pPr>
      <w:r w:rsidDel="00000000" w:rsidR="00000000" w:rsidRPr="00000000">
        <w:rPr>
          <w:rFonts w:ascii="Montserrat" w:cs="Montserrat" w:eastAsia="Montserrat" w:hAnsi="Montserrat"/>
          <w:b w:val="1"/>
          <w:bCs w:val="1"/>
          <w:color w:val="1a1a1a"/>
          <w:sz w:val="24"/>
          <w:szCs w:val="24"/>
          <w:rtl w:val="0"/>
        </w:rPr>
        <w:t xml:space="preserve">Core Concepts</w:t>
      </w:r>
    </w:p>
    <w:p w:rsidR="00000000" w:rsidDel="00000000" w:rsidP="00000000" w:rsidRDefault="00000000" w:rsidRPr="00000000" w14:paraId="00000035">
      <w:pPr>
        <w:numPr>
          <w:ilvl w:val="0"/>
          <w:numId w:val="1"/>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2b2b2b"/>
          <w:sz w:val="20"/>
          <w:szCs w:val="20"/>
          <w:rtl w:val="0"/>
        </w:rPr>
        <w:t xml:space="preserve">SDR (Sales Development Representative). </w:t>
      </w:r>
      <w:r w:rsidDel="00000000" w:rsidR="00000000" w:rsidRPr="00000000">
        <w:rPr>
          <w:rFonts w:ascii="Montserrat" w:cs="Montserrat" w:eastAsia="Montserrat" w:hAnsi="Montserrat"/>
          <w:color w:val="2b2b2b"/>
          <w:sz w:val="20"/>
          <w:szCs w:val="20"/>
          <w:rtl w:val="0"/>
        </w:rPr>
        <w:t xml:space="preserve">A sales role primarily focused on qualifying leads and filling sales representatives' calendars with meetings or qualified opportunities. The average SDR quota is 21 meetings or 13 qualified opportunities per month, with reps making an average of 46 dials per day. Average SDR tenure is 1.4 years.</w:t>
      </w:r>
    </w:p>
    <w:p w:rsidR="00000000" w:rsidDel="00000000" w:rsidP="00000000" w:rsidRDefault="00000000" w:rsidRPr="00000000" w14:paraId="00000036">
      <w:pPr>
        <w:numPr>
          <w:ilvl w:val="0"/>
          <w:numId w:val="1"/>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2b2b2b"/>
          <w:sz w:val="20"/>
          <w:szCs w:val="20"/>
          <w:rtl w:val="0"/>
        </w:rPr>
        <w:t xml:space="preserve">Firmographics. </w:t>
      </w:r>
      <w:r w:rsidDel="00000000" w:rsidR="00000000" w:rsidRPr="00000000">
        <w:rPr>
          <w:rFonts w:ascii="Montserrat" w:cs="Montserrat" w:eastAsia="Montserrat" w:hAnsi="Montserrat"/>
          <w:color w:val="2b2b2b"/>
          <w:sz w:val="20"/>
          <w:szCs w:val="20"/>
          <w:rtl w:val="0"/>
        </w:rPr>
        <w:t xml:space="preserve">Characteristics used to describe businesses — industry type, company size, revenue, location, funding history. This data is vital for segmenting target markets, improving conversion rates, and tailoring outreach.</w:t>
      </w:r>
    </w:p>
    <w:p w:rsidR="00000000" w:rsidDel="00000000" w:rsidP="00000000" w:rsidRDefault="00000000" w:rsidRPr="00000000" w14:paraId="00000037">
      <w:pPr>
        <w:numPr>
          <w:ilvl w:val="0"/>
          <w:numId w:val="1"/>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2b2b2b"/>
          <w:sz w:val="20"/>
          <w:szCs w:val="20"/>
          <w:rtl w:val="0"/>
        </w:rPr>
        <w:t xml:space="preserve">Lead Qualification. </w:t>
      </w:r>
      <w:r w:rsidDel="00000000" w:rsidR="00000000" w:rsidRPr="00000000">
        <w:rPr>
          <w:rFonts w:ascii="Montserrat" w:cs="Montserrat" w:eastAsia="Montserrat" w:hAnsi="Montserrat"/>
          <w:color w:val="2b2b2b"/>
          <w:sz w:val="20"/>
          <w:szCs w:val="20"/>
          <w:rtl w:val="0"/>
        </w:rPr>
        <w:t xml:space="preserve">The process of determining if a prospect meets the criteria to proceed to the next stage of the sales cycle. In this challenge, qualification is automated using real Crunchbase firmographic data and regulatory exposure checks (CFPB complaint history).</w:t>
      </w:r>
    </w:p>
    <w:p w:rsidR="00000000" w:rsidDel="00000000" w:rsidP="00000000" w:rsidRDefault="00000000" w:rsidRPr="00000000" w14:paraId="00000038">
      <w:pPr>
        <w:numPr>
          <w:ilvl w:val="0"/>
          <w:numId w:val="1"/>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2b2b2b"/>
          <w:sz w:val="20"/>
          <w:szCs w:val="20"/>
          <w:rtl w:val="0"/>
        </w:rPr>
        <w:t xml:space="preserve">CFPB. </w:t>
      </w:r>
      <w:r w:rsidDel="00000000" w:rsidR="00000000" w:rsidRPr="00000000">
        <w:rPr>
          <w:rFonts w:ascii="Montserrat" w:cs="Montserrat" w:eastAsia="Montserrat" w:hAnsi="Montserrat"/>
          <w:color w:val="2b2b2b"/>
          <w:sz w:val="20"/>
          <w:szCs w:val="20"/>
          <w:rtl w:val="0"/>
        </w:rPr>
        <w:t xml:space="preserve">The Consumer Financial Protection Bureau actively monitors and regulates sales tactics to prevent unfair, deceptive, or abusive acts. The use of CFPB complaint data is central to the business goal of Acme ComplianceOS, which sells compliance software to financial institutions like banks and credit unions.</w:t>
      </w:r>
    </w:p>
    <w:p w:rsidR="00000000" w:rsidDel="00000000" w:rsidP="00000000" w:rsidRDefault="00000000" w:rsidRPr="00000000" w14:paraId="00000039">
      <w:pPr>
        <w:pStyle w:val="Heading2"/>
        <w:keepNext w:val="0"/>
        <w:keepLines w:val="0"/>
        <w:spacing w:before="320" w:line="240" w:lineRule="auto"/>
        <w:rPr>
          <w:rFonts w:ascii="Montserrat" w:cs="Montserrat" w:eastAsia="Montserrat" w:hAnsi="Montserrat"/>
          <w:b w:val="1"/>
          <w:bCs w:val="1"/>
          <w:color w:val="1a1a1a"/>
          <w:sz w:val="24"/>
          <w:szCs w:val="24"/>
        </w:rPr>
      </w:pPr>
      <w:r w:rsidDel="00000000" w:rsidR="00000000" w:rsidRPr="00000000">
        <w:rPr>
          <w:rFonts w:ascii="Montserrat" w:cs="Montserrat" w:eastAsia="Montserrat" w:hAnsi="Montserrat"/>
          <w:b w:val="1"/>
          <w:bCs w:val="1"/>
          <w:color w:val="1a1a1a"/>
          <w:sz w:val="24"/>
          <w:szCs w:val="24"/>
          <w:rtl w:val="0"/>
        </w:rPr>
        <w:t xml:space="preserve">Regulatory Exposure and Risk</w:t>
      </w:r>
    </w:p>
    <w:p w:rsidR="00000000" w:rsidDel="00000000" w:rsidP="00000000" w:rsidRDefault="00000000" w:rsidRPr="00000000" w14:paraId="0000003A">
      <w:pPr>
        <w:spacing w:after="80" w:before="80" w:line="30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Financial services firms in the U.S. are overseen by agencies like the Consumer Financial Protection Bureau (CFPB), which operates a public database of complaints. Consumers file complaints about issues like unfair, deceptive, or abusive practices — often related to high-pressure sales tactics, quotas, or commission structures that lead to problems like unauthorized accounts.</w:t>
      </w:r>
    </w:p>
    <w:p w:rsidR="00000000" w:rsidDel="00000000" w:rsidP="00000000" w:rsidRDefault="00000000" w:rsidRPr="00000000" w14:paraId="0000003B">
      <w:pPr>
        <w:spacing w:after="80" w:before="80" w:line="30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When a financial institution has recent complaints, it means they have an urgent, verifiable problem with compliance. Since Acme ComplianceOS sells software to automate compliance, these exposed issues are the best possible sales leads.</w:t>
      </w:r>
    </w:p>
    <w:p w:rsidR="00000000" w:rsidDel="00000000" w:rsidP="00000000" w:rsidRDefault="00000000" w:rsidRPr="00000000" w14:paraId="0000003C">
      <w:pPr>
        <w:pStyle w:val="Heading3"/>
        <w:keepNext w:val="0"/>
        <w:keepLines w:val="0"/>
        <w:spacing w:before="240" w:line="240" w:lineRule="auto"/>
        <w:rPr>
          <w:rFonts w:ascii="Montserrat" w:cs="Montserrat" w:eastAsia="Montserrat" w:hAnsi="Montserrat"/>
          <w:b w:val="1"/>
          <w:bCs w:val="1"/>
          <w:color w:val="3f3f3f"/>
          <w:sz w:val="20"/>
          <w:szCs w:val="20"/>
        </w:rPr>
      </w:pPr>
      <w:r w:rsidDel="00000000" w:rsidR="00000000" w:rsidRPr="00000000">
        <w:rPr>
          <w:rFonts w:ascii="Montserrat" w:cs="Montserrat" w:eastAsia="Montserrat" w:hAnsi="Montserrat"/>
          <w:b w:val="1"/>
          <w:bCs w:val="1"/>
          <w:color w:val="3f3f3f"/>
          <w:sz w:val="20"/>
          <w:szCs w:val="20"/>
          <w:rtl w:val="0"/>
        </w:rPr>
        <w:t xml:space="preserve">How the agent uses CFPB data</w:t>
      </w:r>
    </w:p>
    <w:p w:rsidR="00000000" w:rsidDel="00000000" w:rsidP="00000000" w:rsidRDefault="00000000" w:rsidRPr="00000000" w14:paraId="0000003D">
      <w:pPr>
        <w:spacing w:after="80" w:before="80" w:line="30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The system checks the CFPB database for the lead's company and extracts the top three issues from complaints filed in the last 180 days. This information is packaged into a regulatory exposure brief that the SMS agent uses to reference the company's specific pain points — not in a generic cold approach, but to ground the conversation in something the prospect already knows is true about their own business.</w:t>
      </w:r>
    </w:p>
    <w:p w:rsidR="00000000" w:rsidDel="00000000" w:rsidP="00000000" w:rsidRDefault="00000000" w:rsidRPr="00000000" w14:paraId="0000003E">
      <w:pPr>
        <w:spacing w:after="80" w:before="80" w:line="30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The agent must be trained to navigate regulatory edge cases by refusing to make compliance claims it cannot verify from the CFPB data. If the agent makes a false or exaggerated claim about compliance, it could expose Acme ComplianceOS to legal risks for misrepresentation, which is a major failure in a regulatory-sensitive business environment.</w:t>
      </w:r>
    </w:p>
    <w:p w:rsidR="00000000" w:rsidDel="00000000" w:rsidP="00000000" w:rsidRDefault="00000000" w:rsidRPr="00000000" w14:paraId="0000003F">
      <w:pPr>
        <w:pStyle w:val="Heading3"/>
        <w:keepNext w:val="0"/>
        <w:keepLines w:val="0"/>
        <w:spacing w:before="240" w:line="240" w:lineRule="auto"/>
        <w:rPr>
          <w:rFonts w:ascii="Montserrat" w:cs="Montserrat" w:eastAsia="Montserrat" w:hAnsi="Montserrat"/>
          <w:b w:val="1"/>
          <w:bCs w:val="1"/>
          <w:color w:val="3f3f3f"/>
          <w:sz w:val="20"/>
          <w:szCs w:val="20"/>
        </w:rPr>
      </w:pPr>
      <w:r w:rsidDel="00000000" w:rsidR="00000000" w:rsidRPr="00000000">
        <w:rPr>
          <w:rFonts w:ascii="Montserrat" w:cs="Montserrat" w:eastAsia="Montserrat" w:hAnsi="Montserrat"/>
          <w:b w:val="1"/>
          <w:bCs w:val="1"/>
          <w:color w:val="3f3f3f"/>
          <w:sz w:val="20"/>
          <w:szCs w:val="20"/>
          <w:rtl w:val="0"/>
        </w:rPr>
        <w:t xml:space="preserve">Impact of mishandling</w:t>
      </w:r>
    </w:p>
    <w:p w:rsidR="00000000" w:rsidDel="00000000" w:rsidP="00000000" w:rsidRDefault="00000000" w:rsidRPr="00000000" w14:paraId="00000040">
      <w:pPr>
        <w:spacing w:before="60" w:line="240" w:lineRule="auto"/>
        <w:rPr>
          <w:rFonts w:ascii="Montserrat" w:cs="Montserrat" w:eastAsia="Montserrat" w:hAnsi="Montserrat"/>
          <w:color w:val="2b2b2b"/>
          <w:sz w:val="20"/>
          <w:szCs w:val="20"/>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d4d4d4" w:space="0" w:sz="4" w:val="single"/>
              <w:left w:color="d4d4d4" w:space="0" w:sz="4" w:val="single"/>
              <w:bottom w:color="d4d4d4" w:space="0" w:sz="4" w:val="single"/>
              <w:right w:color="d4d4d4" w:space="0" w:sz="4" w:val="single"/>
            </w:tcBorders>
            <w:shd w:fill="1a1a1a" w:val="clear"/>
            <w:tcMar>
              <w:top w:w="100.0" w:type="dxa"/>
              <w:left w:w="140.0" w:type="dxa"/>
              <w:bottom w:w="100.0" w:type="dxa"/>
              <w:right w:w="140.0" w:type="dxa"/>
            </w:tcMar>
          </w:tcPr>
          <w:p w:rsidR="00000000" w:rsidDel="00000000" w:rsidP="00000000" w:rsidRDefault="00000000" w:rsidRPr="00000000" w14:paraId="00000041">
            <w:pPr>
              <w:spacing w:line="24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ffffff"/>
                <w:sz w:val="18"/>
                <w:szCs w:val="18"/>
                <w:rtl w:val="0"/>
              </w:rPr>
              <w:t xml:space="preserve">Impact Type</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1a1a1a" w:val="clear"/>
            <w:tcMar>
              <w:top w:w="100.0" w:type="dxa"/>
              <w:left w:w="140.0" w:type="dxa"/>
              <w:bottom w:w="100.0" w:type="dxa"/>
              <w:right w:w="140.0" w:type="dxa"/>
            </w:tcMar>
          </w:tcPr>
          <w:p w:rsidR="00000000" w:rsidDel="00000000" w:rsidP="00000000" w:rsidRDefault="00000000" w:rsidRPr="00000000" w14:paraId="00000042">
            <w:pPr>
              <w:spacing w:line="24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43">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Regulatory risk</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44">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The agent must refuse compliance claims it cannot verify. Any false or exaggerated claim exposes Acme ComplianceOS to misrepresentation liability in a regulatory-sensitive sector.</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45">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Business / ROI</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46">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The client already loses 60% of inbound leads to qualification errors. Failing to use CFPB data effectively continues missing high-value opportunities. At $60,000 ACV, every lost qualified lead is a material financial hit.</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47">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Operational</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48">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Without this data, the SDR team continues to suffer from inconsistent qualification, which is one of the main pain points the new system is designed to solve.</w:t>
            </w:r>
            <w:r w:rsidDel="00000000" w:rsidR="00000000" w:rsidRPr="00000000">
              <w:rPr>
                <w:rtl w:val="0"/>
              </w:rPr>
            </w:r>
          </w:p>
        </w:tc>
      </w:tr>
    </w:tbl>
    <w:p w:rsidR="00000000" w:rsidDel="00000000" w:rsidP="00000000" w:rsidRDefault="00000000" w:rsidRPr="00000000" w14:paraId="00000049">
      <w:pPr>
        <w:pStyle w:val="Heading2"/>
        <w:keepNext w:val="0"/>
        <w:keepLines w:val="0"/>
        <w:spacing w:before="320" w:line="240" w:lineRule="auto"/>
        <w:rPr>
          <w:rFonts w:ascii="Montserrat" w:cs="Montserrat" w:eastAsia="Montserrat" w:hAnsi="Montserrat"/>
          <w:b w:val="1"/>
          <w:bCs w:val="1"/>
          <w:color w:val="1a1a1a"/>
          <w:sz w:val="24"/>
          <w:szCs w:val="24"/>
        </w:rPr>
      </w:pPr>
      <w:r w:rsidDel="00000000" w:rsidR="00000000" w:rsidRPr="00000000">
        <w:rPr>
          <w:rFonts w:ascii="Montserrat" w:cs="Montserrat" w:eastAsia="Montserrat" w:hAnsi="Montserrat"/>
          <w:b w:val="1"/>
          <w:bCs w:val="1"/>
          <w:color w:val="1a1a1a"/>
          <w:sz w:val="24"/>
          <w:szCs w:val="24"/>
          <w:rtl w:val="0"/>
        </w:rPr>
        <w:t xml:space="preserve">Best Strategies to Automate Qualification</w:t>
      </w:r>
    </w:p>
    <w:p w:rsidR="00000000" w:rsidDel="00000000" w:rsidP="00000000" w:rsidRDefault="00000000" w:rsidRPr="00000000" w14:paraId="0000004A">
      <w:pPr>
        <w:numPr>
          <w:ilvl w:val="0"/>
          <w:numId w:val="1"/>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2b2b2b"/>
          <w:sz w:val="20"/>
          <w:szCs w:val="20"/>
          <w:rtl w:val="0"/>
        </w:rPr>
        <w:t xml:space="preserve">Prioritize speed-to-lead. </w:t>
      </w:r>
      <w:r w:rsidDel="00000000" w:rsidR="00000000" w:rsidRPr="00000000">
        <w:rPr>
          <w:rFonts w:ascii="Montserrat" w:cs="Montserrat" w:eastAsia="Montserrat" w:hAnsi="Montserrat"/>
          <w:color w:val="2b2b2b"/>
          <w:sz w:val="20"/>
          <w:szCs w:val="20"/>
          <w:rtl w:val="0"/>
        </w:rPr>
        <w:t xml:space="preserve">Responding within 5 minutes makes leads 21 times more likely to qualify versus the human baseline of 42-minute median response. Automation is necessary to reach this target at scale.</w:t>
      </w:r>
    </w:p>
    <w:p w:rsidR="00000000" w:rsidDel="00000000" w:rsidP="00000000" w:rsidRDefault="00000000" w:rsidRPr="00000000" w14:paraId="0000004B">
      <w:pPr>
        <w:numPr>
          <w:ilvl w:val="0"/>
          <w:numId w:val="1"/>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2b2b2b"/>
          <w:sz w:val="20"/>
          <w:szCs w:val="20"/>
          <w:rtl w:val="0"/>
        </w:rPr>
        <w:t xml:space="preserve">Data-driven segmentation and personalization. </w:t>
      </w:r>
      <w:r w:rsidDel="00000000" w:rsidR="00000000" w:rsidRPr="00000000">
        <w:rPr>
          <w:rFonts w:ascii="Montserrat" w:cs="Montserrat" w:eastAsia="Montserrat" w:hAnsi="Montserrat"/>
          <w:color w:val="2b2b2b"/>
          <w:sz w:val="20"/>
          <w:szCs w:val="20"/>
          <w:rtl w:val="0"/>
        </w:rPr>
        <w:t xml:space="preserve">Firmographic data tailors outreach and improves conversion. Agents can collect essential information, generate personalized responses grounded in retrieval, and streamline communication.</w:t>
      </w:r>
    </w:p>
    <w:p w:rsidR="00000000" w:rsidDel="00000000" w:rsidP="00000000" w:rsidRDefault="00000000" w:rsidRPr="00000000" w14:paraId="0000004C">
      <w:pPr>
        <w:numPr>
          <w:ilvl w:val="0"/>
          <w:numId w:val="1"/>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2b2b2b"/>
          <w:sz w:val="20"/>
          <w:szCs w:val="20"/>
          <w:rtl w:val="0"/>
        </w:rPr>
        <w:t xml:space="preserve">SDR focus alignment. </w:t>
      </w:r>
      <w:r w:rsidDel="00000000" w:rsidR="00000000" w:rsidRPr="00000000">
        <w:rPr>
          <w:rFonts w:ascii="Montserrat" w:cs="Montserrat" w:eastAsia="Montserrat" w:hAnsi="Montserrat"/>
          <w:color w:val="2b2b2b"/>
          <w:sz w:val="20"/>
          <w:szCs w:val="20"/>
          <w:rtl w:val="0"/>
        </w:rPr>
        <w:t xml:space="preserve">Strategically align SDR focus between introductory meetings and qualified opportunities based on current Account Executive workloads.</w:t>
      </w:r>
    </w:p>
    <w:p w:rsidR="00000000" w:rsidDel="00000000" w:rsidP="00000000" w:rsidRDefault="00000000" w:rsidRPr="00000000" w14:paraId="0000004D">
      <w:pPr>
        <w:pStyle w:val="Heading2"/>
        <w:keepNext w:val="0"/>
        <w:keepLines w:val="0"/>
        <w:spacing w:before="320" w:line="240" w:lineRule="auto"/>
        <w:rPr>
          <w:rFonts w:ascii="Montserrat" w:cs="Montserrat" w:eastAsia="Montserrat" w:hAnsi="Montserrat"/>
          <w:b w:val="1"/>
          <w:bCs w:val="1"/>
          <w:color w:val="1a1a1a"/>
          <w:sz w:val="24"/>
          <w:szCs w:val="24"/>
        </w:rPr>
      </w:pPr>
      <w:r w:rsidDel="00000000" w:rsidR="00000000" w:rsidRPr="00000000">
        <w:rPr>
          <w:rFonts w:ascii="Montserrat" w:cs="Montserrat" w:eastAsia="Montserrat" w:hAnsi="Montserrat"/>
          <w:b w:val="1"/>
          <w:bCs w:val="1"/>
          <w:color w:val="1a1a1a"/>
          <w:sz w:val="24"/>
          <w:szCs w:val="24"/>
          <w:rtl w:val="0"/>
        </w:rPr>
        <w:t xml:space="preserve">Reading Guide</w:t>
      </w:r>
    </w:p>
    <w:p w:rsidR="00000000" w:rsidDel="00000000" w:rsidP="00000000" w:rsidRDefault="00000000" w:rsidRPr="00000000" w14:paraId="0000004E">
      <w:pPr>
        <w:numPr>
          <w:ilvl w:val="0"/>
          <w:numId w:val="1"/>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Managing SDR Teams: Benchmarks and Best Practices — Crunchbase Insights</w:t>
      </w:r>
    </w:p>
    <w:p w:rsidR="00000000" w:rsidDel="00000000" w:rsidP="00000000" w:rsidRDefault="00000000" w:rsidRPr="00000000" w14:paraId="0000004F">
      <w:pPr>
        <w:numPr>
          <w:ilvl w:val="0"/>
          <w:numId w:val="1"/>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What Is Firmographic Data and Why Is It Important for B2B? — Crunchbase Insights</w:t>
      </w:r>
    </w:p>
    <w:p w:rsidR="00000000" w:rsidDel="00000000" w:rsidP="00000000" w:rsidRDefault="00000000" w:rsidRPr="00000000" w14:paraId="00000050">
      <w:pPr>
        <w:numPr>
          <w:ilvl w:val="0"/>
          <w:numId w:val="1"/>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Tau-bench and τ²-Bench papers — Sierra Research, arXiv 2402.14844 and ICLR 2026 submission</w:t>
      </w:r>
    </w:p>
    <w:p w:rsidR="00000000" w:rsidDel="00000000" w:rsidP="00000000" w:rsidRDefault="00000000" w:rsidRPr="00000000" w14:paraId="00000051">
      <w:pPr>
        <w:spacing w:line="240" w:lineRule="auto"/>
        <w:rPr>
          <w:rFonts w:ascii="Montserrat" w:cs="Montserrat" w:eastAsia="Montserrat" w:hAnsi="Montserrat"/>
          <w:color w:val="2b2b2b"/>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keepNext w:val="0"/>
        <w:keepLines w:val="0"/>
        <w:spacing w:after="180" w:before="480" w:line="240" w:lineRule="auto"/>
        <w:rPr>
          <w:rFonts w:ascii="Montserrat" w:cs="Montserrat" w:eastAsia="Montserrat" w:hAnsi="Montserrat"/>
          <w:b w:val="1"/>
          <w:bCs w:val="1"/>
          <w:color w:val="1a1a1a"/>
          <w:sz w:val="32"/>
          <w:szCs w:val="32"/>
        </w:rPr>
      </w:pPr>
      <w:r w:rsidDel="00000000" w:rsidR="00000000" w:rsidRPr="00000000">
        <w:rPr>
          <w:rFonts w:ascii="Montserrat" w:cs="Montserrat" w:eastAsia="Montserrat" w:hAnsi="Montserrat"/>
          <w:b w:val="1"/>
          <w:bCs w:val="1"/>
          <w:color w:val="1a1a1a"/>
          <w:sz w:val="32"/>
          <w:szCs w:val="32"/>
          <w:rtl w:val="0"/>
        </w:rPr>
        <w:t xml:space="preserve">The Data — Public Sources, No Fabrication</w:t>
      </w:r>
    </w:p>
    <w:p w:rsidR="00000000" w:rsidDel="00000000" w:rsidP="00000000" w:rsidRDefault="00000000" w:rsidRPr="00000000" w14:paraId="00000053">
      <w:pPr>
        <w:spacing w:after="80" w:before="80" w:line="30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Every input to your system traces to a public, reproducible source. There are no synthetic leads and no mock companies. The Crunchbase ODM sample gives you real firmographics. The CFPB database gives you real regulatory exposure. The τ²-Bench simulator gives you real conversation evaluation. Your own outputs — captured in real HubSpot records and real SMS logs from the shared rig — close the loop.</w:t>
      </w:r>
    </w:p>
    <w:p w:rsidR="00000000" w:rsidDel="00000000" w:rsidP="00000000" w:rsidRDefault="00000000" w:rsidRPr="00000000" w14:paraId="00000054">
      <w:pPr>
        <w:pStyle w:val="Heading2"/>
        <w:keepNext w:val="0"/>
        <w:keepLines w:val="0"/>
        <w:spacing w:before="320" w:line="240" w:lineRule="auto"/>
        <w:rPr>
          <w:rFonts w:ascii="Montserrat" w:cs="Montserrat" w:eastAsia="Montserrat" w:hAnsi="Montserrat"/>
          <w:b w:val="1"/>
          <w:bCs w:val="1"/>
          <w:color w:val="1a1a1a"/>
          <w:sz w:val="24"/>
          <w:szCs w:val="24"/>
        </w:rPr>
      </w:pPr>
      <w:r w:rsidDel="00000000" w:rsidR="00000000" w:rsidRPr="00000000">
        <w:rPr>
          <w:rFonts w:ascii="Montserrat" w:cs="Montserrat" w:eastAsia="Montserrat" w:hAnsi="Montserrat"/>
          <w:b w:val="1"/>
          <w:bCs w:val="1"/>
          <w:color w:val="1a1a1a"/>
          <w:sz w:val="24"/>
          <w:szCs w:val="24"/>
          <w:rtl w:val="0"/>
        </w:rPr>
        <w:t xml:space="preserve">Data Source 1 — Crunchbase Open Data Map Sample</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55">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1a1a1a"/>
                <w:sz w:val="18"/>
                <w:szCs w:val="18"/>
                <w:rtl w:val="0"/>
              </w:rPr>
              <w:t xml:space="preserve">What it is</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56">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1,001 real Crunchbase company records extracted under Apache 2.0 license, spanning firmographics (name, description, employee count, funding, industry, founders, location, social links).</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57">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1a1a1a"/>
                <w:sz w:val="18"/>
                <w:szCs w:val="18"/>
                <w:rtl w:val="0"/>
              </w:rPr>
              <w:t xml:space="preserve">Where to get it</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58">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github.com/luminati-io/Crunchbase-dataset-samples (Bright Data sample, free and redistributable)</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59">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1a1a1a"/>
                <w:sz w:val="18"/>
                <w:szCs w:val="18"/>
                <w:rtl w:val="0"/>
              </w:rPr>
              <w:t xml:space="preserve">Alternative</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5A">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Kaggle 'Startup Investments (Crunchbase)' for a second, larger (~50K) public sample</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5B">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1a1a1a"/>
                <w:sz w:val="18"/>
                <w:szCs w:val="18"/>
                <w:rtl w:val="0"/>
              </w:rPr>
              <w:t xml:space="preserve">Your use</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5C">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Source of truth for the outbound campaign. Every lead object in your HubSpot CRM must reference a real Crunchbase record by ID.</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5D">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1a1a1a"/>
                <w:sz w:val="18"/>
                <w:szCs w:val="18"/>
                <w:rtl w:val="0"/>
              </w:rPr>
              <w:t xml:space="preserve">Validation</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5E">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All trace files must include the crunchbase_id and last_enriched_at timestamp. Grading audit: random sample 20 leads, check each crunchbase_id resolves to a real record.</w:t>
            </w:r>
            <w:r w:rsidDel="00000000" w:rsidR="00000000" w:rsidRPr="00000000">
              <w:rPr>
                <w:rtl w:val="0"/>
              </w:rPr>
            </w:r>
          </w:p>
        </w:tc>
      </w:tr>
    </w:tbl>
    <w:p w:rsidR="00000000" w:rsidDel="00000000" w:rsidP="00000000" w:rsidRDefault="00000000" w:rsidRPr="00000000" w14:paraId="0000005F">
      <w:pPr>
        <w:spacing w:before="120" w:line="240" w:lineRule="auto"/>
        <w:rPr>
          <w:rFonts w:ascii="Montserrat" w:cs="Montserrat" w:eastAsia="Montserrat" w:hAnsi="Montserrat"/>
          <w:color w:val="2b2b2b"/>
          <w:sz w:val="20"/>
          <w:szCs w:val="20"/>
        </w:rPr>
      </w:pPr>
      <w:r w:rsidDel="00000000" w:rsidR="00000000" w:rsidRPr="00000000">
        <w:rPr>
          <w:rtl w:val="0"/>
        </w:rPr>
      </w:r>
    </w:p>
    <w:p w:rsidR="00000000" w:rsidDel="00000000" w:rsidP="00000000" w:rsidRDefault="00000000" w:rsidRPr="00000000" w14:paraId="00000060">
      <w:pPr>
        <w:pStyle w:val="Heading2"/>
        <w:keepNext w:val="0"/>
        <w:keepLines w:val="0"/>
        <w:spacing w:before="320" w:line="240" w:lineRule="auto"/>
        <w:rPr>
          <w:rFonts w:ascii="Montserrat" w:cs="Montserrat" w:eastAsia="Montserrat" w:hAnsi="Montserrat"/>
          <w:b w:val="1"/>
          <w:bCs w:val="1"/>
          <w:color w:val="1a1a1a"/>
          <w:sz w:val="24"/>
          <w:szCs w:val="24"/>
        </w:rPr>
      </w:pPr>
      <w:r w:rsidDel="00000000" w:rsidR="00000000" w:rsidRPr="00000000">
        <w:rPr>
          <w:rFonts w:ascii="Montserrat" w:cs="Montserrat" w:eastAsia="Montserrat" w:hAnsi="Montserrat"/>
          <w:b w:val="1"/>
          <w:bCs w:val="1"/>
          <w:color w:val="1a1a1a"/>
          <w:sz w:val="24"/>
          <w:szCs w:val="24"/>
          <w:rtl w:val="0"/>
        </w:rPr>
        <w:t xml:space="preserve">Data Source 2 — CFPB Consumer Complaint Database</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61">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1a1a1a"/>
                <w:sz w:val="18"/>
                <w:szCs w:val="18"/>
                <w:rtl w:val="0"/>
              </w:rPr>
              <w:t xml:space="preserve">What it is</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62">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13.8M+ real consumer complaints against financial institutions, in the public domain. Each complaint includes company name, product, issue, state, narrative text, company response, and timestamp.</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63">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1a1a1a"/>
                <w:sz w:val="18"/>
                <w:szCs w:val="18"/>
                <w:rtl w:val="0"/>
              </w:rPr>
              <w:t xml:space="preserve">Where to get it</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64">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consumerfinance.gov/data-research/consumer-complaints (free API, no key required) or huggingface.co/datasets/CFPB/consumer-finance-complaints (snapshot)</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65">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1a1a1a"/>
                <w:sz w:val="18"/>
                <w:szCs w:val="18"/>
                <w:rtl w:val="0"/>
              </w:rPr>
              <w:t xml:space="preserve">Your use</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66">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When a lead enters the system, the enrichment pipeline queries the CFPB database for recent complaints against the company, extracts the top issues by volume, and produces a regulatory exposure brief that the agent can reference appropriately.</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67">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1a1a1a"/>
                <w:sz w:val="18"/>
                <w:szCs w:val="18"/>
                <w:rtl w:val="0"/>
              </w:rPr>
              <w:t xml:space="preserve">Validation</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68">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Sample 10 leads from financial services; verify the CFPB extraction matches a manual API query within one week's freshness.</w:t>
            </w:r>
            <w:r w:rsidDel="00000000" w:rsidR="00000000" w:rsidRPr="00000000">
              <w:rPr>
                <w:rtl w:val="0"/>
              </w:rPr>
            </w:r>
          </w:p>
        </w:tc>
      </w:tr>
    </w:tbl>
    <w:p w:rsidR="00000000" w:rsidDel="00000000" w:rsidP="00000000" w:rsidRDefault="00000000" w:rsidRPr="00000000" w14:paraId="00000069">
      <w:pPr>
        <w:spacing w:before="120" w:line="240" w:lineRule="auto"/>
        <w:rPr>
          <w:rFonts w:ascii="Montserrat" w:cs="Montserrat" w:eastAsia="Montserrat" w:hAnsi="Montserrat"/>
          <w:color w:val="2b2b2b"/>
          <w:sz w:val="20"/>
          <w:szCs w:val="20"/>
        </w:rPr>
      </w:pPr>
      <w:r w:rsidDel="00000000" w:rsidR="00000000" w:rsidRPr="00000000">
        <w:rPr>
          <w:rtl w:val="0"/>
        </w:rPr>
      </w:r>
    </w:p>
    <w:p w:rsidR="00000000" w:rsidDel="00000000" w:rsidP="00000000" w:rsidRDefault="00000000" w:rsidRPr="00000000" w14:paraId="0000006A">
      <w:pPr>
        <w:pStyle w:val="Heading2"/>
        <w:keepNext w:val="0"/>
        <w:keepLines w:val="0"/>
        <w:spacing w:before="320" w:line="240" w:lineRule="auto"/>
        <w:rPr>
          <w:rFonts w:ascii="Montserrat" w:cs="Montserrat" w:eastAsia="Montserrat" w:hAnsi="Montserrat"/>
          <w:b w:val="1"/>
          <w:bCs w:val="1"/>
          <w:color w:val="1a1a1a"/>
          <w:sz w:val="24"/>
          <w:szCs w:val="24"/>
        </w:rPr>
      </w:pPr>
      <w:r w:rsidDel="00000000" w:rsidR="00000000" w:rsidRPr="00000000">
        <w:rPr>
          <w:rFonts w:ascii="Montserrat" w:cs="Montserrat" w:eastAsia="Montserrat" w:hAnsi="Montserrat"/>
          <w:b w:val="1"/>
          <w:bCs w:val="1"/>
          <w:color w:val="1a1a1a"/>
          <w:sz w:val="24"/>
          <w:szCs w:val="24"/>
          <w:rtl w:val="0"/>
        </w:rPr>
        <w:t xml:space="preserve">Data Source 3 — τ²-Bench</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6B">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1a1a1a"/>
                <w:sz w:val="18"/>
                <w:szCs w:val="18"/>
                <w:rtl w:val="0"/>
              </w:rPr>
              <w:t xml:space="preserve">What it is</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6C">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A dual-control conversational agent benchmark from Sierra Research. Both agent and simulated user take tool actions in a shared world. Compositional task generator produces verifiable tasks.</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6D">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1a1a1a"/>
                <w:sz w:val="18"/>
                <w:szCs w:val="18"/>
                <w:rtl w:val="0"/>
              </w:rPr>
              <w:t xml:space="preserve">Where to get it</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6E">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github.com/sierra-research/tau2-bench (Apache 2.0)</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6F">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1a1a1a"/>
                <w:sz w:val="18"/>
                <w:szCs w:val="18"/>
                <w:rtl w:val="0"/>
              </w:rPr>
              <w:t xml:space="preserve">Current SOTA</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70">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Retail: ~42% pass@1 (GPT-5 class). Telecom: ~30%. Published in the τ² paper and on Artificial Analysis.</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71">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1a1a1a"/>
                <w:sz w:val="18"/>
                <w:szCs w:val="18"/>
                <w:rtl w:val="0"/>
              </w:rPr>
              <w:t xml:space="preserve">Your use</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72">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Week 10 ground-truth conversation benchmark. You reproduce the baseline on retail, design adversarial probes, then implement a mechanism that beats your own baseline on a sealed held-out slice.</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73">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1a1a1a"/>
                <w:sz w:val="18"/>
                <w:szCs w:val="18"/>
                <w:rtl w:val="0"/>
              </w:rPr>
              <w:t xml:space="preserve">Model pin</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74">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To reduce reproduction variance, a specific model version and temperature will be pinned by program staff on Day 0. Do not change these for scored runs.</w:t>
            </w:r>
            <w:r w:rsidDel="00000000" w:rsidR="00000000" w:rsidRPr="00000000">
              <w:rPr>
                <w:rtl w:val="0"/>
              </w:rPr>
            </w:r>
          </w:p>
        </w:tc>
      </w:tr>
    </w:tbl>
    <w:p w:rsidR="00000000" w:rsidDel="00000000" w:rsidP="00000000" w:rsidRDefault="00000000" w:rsidRPr="00000000" w14:paraId="00000075">
      <w:pPr>
        <w:spacing w:before="120" w:line="240" w:lineRule="auto"/>
        <w:rPr>
          <w:rFonts w:ascii="Montserrat" w:cs="Montserrat" w:eastAsia="Montserrat" w:hAnsi="Montserrat"/>
          <w:color w:val="2b2b2b"/>
          <w:sz w:val="20"/>
          <w:szCs w:val="20"/>
        </w:rPr>
      </w:pPr>
      <w:r w:rsidDel="00000000" w:rsidR="00000000" w:rsidRPr="00000000">
        <w:rPr>
          <w:rtl w:val="0"/>
        </w:rPr>
      </w:r>
    </w:p>
    <w:p w:rsidR="00000000" w:rsidDel="00000000" w:rsidP="00000000" w:rsidRDefault="00000000" w:rsidRPr="00000000" w14:paraId="00000076">
      <w:pPr>
        <w:pStyle w:val="Heading2"/>
        <w:keepNext w:val="0"/>
        <w:keepLines w:val="0"/>
        <w:spacing w:before="320" w:line="240" w:lineRule="auto"/>
        <w:rPr>
          <w:rFonts w:ascii="Montserrat" w:cs="Montserrat" w:eastAsia="Montserrat" w:hAnsi="Montserrat"/>
          <w:b w:val="1"/>
          <w:bCs w:val="1"/>
          <w:color w:val="1a1a1a"/>
          <w:sz w:val="24"/>
          <w:szCs w:val="24"/>
        </w:rPr>
      </w:pPr>
      <w:r w:rsidDel="00000000" w:rsidR="00000000" w:rsidRPr="00000000">
        <w:rPr>
          <w:rFonts w:ascii="Montserrat" w:cs="Montserrat" w:eastAsia="Montserrat" w:hAnsi="Montserrat"/>
          <w:b w:val="1"/>
          <w:bCs w:val="1"/>
          <w:color w:val="1a1a1a"/>
          <w:sz w:val="24"/>
          <w:szCs w:val="24"/>
          <w:rtl w:val="0"/>
        </w:rPr>
        <w:t xml:space="preserve">Data Source 4 — Your Own Production Traces</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77">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1a1a1a"/>
                <w:sz w:val="18"/>
                <w:szCs w:val="18"/>
                <w:rtl w:val="0"/>
              </w:rPr>
              <w:t xml:space="preserve">What it is</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78">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Every SMS, every HubSpot write, every tool call your agent makes during Day 5–7 testing, captured in structured JSONL.</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79">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1a1a1a"/>
                <w:sz w:val="18"/>
                <w:szCs w:val="18"/>
                <w:rtl w:val="0"/>
              </w:rPr>
              <w:t xml:space="preserve">Where it lives</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7A">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A Langfuse workspace (self-hosted or cloud free tier) or an equivalent OpenTelemetry sink. Every trace has a trace_id that you reference in your memo.</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7B">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1a1a1a"/>
                <w:sz w:val="18"/>
                <w:szCs w:val="18"/>
                <w:rtl w:val="0"/>
              </w:rPr>
              <w:t xml:space="preserve">Your use</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7C">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Your own system generates its own ground truth for the cost, latency, and throughput numbers. You cannot claim '$0.34 per qualified lead' without a trace file that computes it.</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7D">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1a1a1a"/>
                <w:sz w:val="18"/>
                <w:szCs w:val="18"/>
                <w:rtl w:val="0"/>
              </w:rPr>
              <w:t xml:space="preserve">Validation</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7E">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An evidence-graph script walks every numeric claim in your final memo, finds the referenced trace file, recomputes the number, and flags mismatches.</w:t>
            </w:r>
            <w:r w:rsidDel="00000000" w:rsidR="00000000" w:rsidRPr="00000000">
              <w:rPr>
                <w:rtl w:val="0"/>
              </w:rPr>
            </w:r>
          </w:p>
        </w:tc>
      </w:tr>
    </w:tbl>
    <w:p w:rsidR="00000000" w:rsidDel="00000000" w:rsidP="00000000" w:rsidRDefault="00000000" w:rsidRPr="00000000" w14:paraId="0000007F">
      <w:pPr>
        <w:spacing w:line="240" w:lineRule="auto"/>
        <w:rPr>
          <w:rFonts w:ascii="Montserrat" w:cs="Montserrat" w:eastAsia="Montserrat" w:hAnsi="Montserrat"/>
          <w:color w:val="2b2b2b"/>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80">
      <w:pPr>
        <w:pStyle w:val="Heading1"/>
        <w:keepNext w:val="0"/>
        <w:keepLines w:val="0"/>
        <w:spacing w:after="180" w:before="480" w:line="240" w:lineRule="auto"/>
        <w:rPr>
          <w:rFonts w:ascii="Montserrat" w:cs="Montserrat" w:eastAsia="Montserrat" w:hAnsi="Montserrat"/>
          <w:b w:val="1"/>
          <w:bCs w:val="1"/>
          <w:color w:val="1a1a1a"/>
          <w:sz w:val="32"/>
          <w:szCs w:val="32"/>
        </w:rPr>
      </w:pPr>
      <w:r w:rsidDel="00000000" w:rsidR="00000000" w:rsidRPr="00000000">
        <w:rPr>
          <w:rFonts w:ascii="Montserrat" w:cs="Montserrat" w:eastAsia="Montserrat" w:hAnsi="Montserrat"/>
          <w:b w:val="1"/>
          <w:bCs w:val="1"/>
          <w:color w:val="1a1a1a"/>
          <w:sz w:val="32"/>
          <w:szCs w:val="32"/>
          <w:rtl w:val="0"/>
        </w:rPr>
        <w:t xml:space="preserve">The Production Stack</w:t>
      </w:r>
    </w:p>
    <w:p w:rsidR="00000000" w:rsidDel="00000000" w:rsidP="00000000" w:rsidRDefault="00000000" w:rsidRPr="00000000" w14:paraId="00000081">
      <w:pPr>
        <w:spacing w:after="80" w:before="80" w:line="30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This stack is designed for trainees based in Ethiopia and other emerging markets. It eliminates the credit-card, US-number, and A2P 10DLC barriers that would stop most trainees before Day 1 on the original Twilio-based stack. The first day will still cost you more engineering time than you expect. That is the lesson.</w:t>
      </w:r>
    </w:p>
    <w:p w:rsidR="00000000" w:rsidDel="00000000" w:rsidP="00000000" w:rsidRDefault="00000000" w:rsidRPr="00000000" w14:paraId="00000082">
      <w:pPr>
        <w:pStyle w:val="Heading2"/>
        <w:keepNext w:val="0"/>
        <w:keepLines w:val="0"/>
        <w:spacing w:before="320" w:line="240" w:lineRule="auto"/>
        <w:rPr>
          <w:rFonts w:ascii="Montserrat" w:cs="Montserrat" w:eastAsia="Montserrat" w:hAnsi="Montserrat"/>
          <w:b w:val="1"/>
          <w:bCs w:val="1"/>
          <w:color w:val="1a1a1a"/>
          <w:sz w:val="24"/>
          <w:szCs w:val="24"/>
        </w:rPr>
      </w:pPr>
      <w:r w:rsidDel="00000000" w:rsidR="00000000" w:rsidRPr="00000000">
        <w:rPr>
          <w:rFonts w:ascii="Montserrat" w:cs="Montserrat" w:eastAsia="Montserrat" w:hAnsi="Montserrat"/>
          <w:b w:val="1"/>
          <w:bCs w:val="1"/>
          <w:color w:val="1a1a1a"/>
          <w:sz w:val="24"/>
          <w:szCs w:val="24"/>
          <w:rtl w:val="0"/>
        </w:rPr>
        <w:t xml:space="preserve">Required Components</w:t>
      </w:r>
    </w:p>
    <w:p w:rsidR="00000000" w:rsidDel="00000000" w:rsidP="00000000" w:rsidRDefault="00000000" w:rsidRPr="00000000" w14:paraId="00000083">
      <w:pPr>
        <w:spacing w:before="60" w:line="240" w:lineRule="auto"/>
        <w:rPr>
          <w:rFonts w:ascii="Montserrat" w:cs="Montserrat" w:eastAsia="Montserrat" w:hAnsi="Montserrat"/>
          <w:color w:val="2b2b2b"/>
          <w:sz w:val="20"/>
          <w:szCs w:val="20"/>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60"/>
        <w:gridCol w:w="2200"/>
        <w:gridCol w:w="2800"/>
        <w:gridCol w:w="2400"/>
        <w:tblGridChange w:id="0">
          <w:tblGrid>
            <w:gridCol w:w="1960"/>
            <w:gridCol w:w="2200"/>
            <w:gridCol w:w="2800"/>
            <w:gridCol w:w="2400"/>
          </w:tblGrid>
        </w:tblGridChange>
      </w:tblGrid>
      <w:tr>
        <w:trPr>
          <w:cantSplit w:val="0"/>
          <w:tblHeader w:val="1"/>
        </w:trPr>
        <w:tc>
          <w:tcPr>
            <w:tcBorders>
              <w:top w:color="d4d4d4" w:space="0" w:sz="4" w:val="single"/>
              <w:left w:color="d4d4d4" w:space="0" w:sz="4" w:val="single"/>
              <w:bottom w:color="d4d4d4" w:space="0" w:sz="4" w:val="single"/>
              <w:right w:color="d4d4d4" w:space="0" w:sz="4" w:val="single"/>
            </w:tcBorders>
            <w:shd w:fill="1a1a1a" w:val="clear"/>
            <w:tcMar>
              <w:top w:w="100.0" w:type="dxa"/>
              <w:left w:w="140.0" w:type="dxa"/>
              <w:bottom w:w="100.0" w:type="dxa"/>
              <w:right w:w="140.0" w:type="dxa"/>
            </w:tcMar>
          </w:tcPr>
          <w:p w:rsidR="00000000" w:rsidDel="00000000" w:rsidP="00000000" w:rsidRDefault="00000000" w:rsidRPr="00000000" w14:paraId="00000084">
            <w:pPr>
              <w:spacing w:line="24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ffffff"/>
                <w:sz w:val="18"/>
                <w:szCs w:val="18"/>
                <w:rtl w:val="0"/>
              </w:rPr>
              <w:t xml:space="preserve">Layer</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1a1a1a" w:val="clear"/>
            <w:tcMar>
              <w:top w:w="100.0" w:type="dxa"/>
              <w:left w:w="140.0" w:type="dxa"/>
              <w:bottom w:w="100.0" w:type="dxa"/>
              <w:right w:w="140.0" w:type="dxa"/>
            </w:tcMar>
          </w:tcPr>
          <w:p w:rsidR="00000000" w:rsidDel="00000000" w:rsidP="00000000" w:rsidRDefault="00000000" w:rsidRPr="00000000" w14:paraId="00000085">
            <w:pPr>
              <w:spacing w:line="24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ffffff"/>
                <w:sz w:val="18"/>
                <w:szCs w:val="18"/>
                <w:rtl w:val="0"/>
              </w:rPr>
              <w:t xml:space="preserve">Primary Choice</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1a1a1a" w:val="clear"/>
            <w:tcMar>
              <w:top w:w="100.0" w:type="dxa"/>
              <w:left w:w="140.0" w:type="dxa"/>
              <w:bottom w:w="100.0" w:type="dxa"/>
              <w:right w:w="140.0" w:type="dxa"/>
            </w:tcMar>
          </w:tcPr>
          <w:p w:rsidR="00000000" w:rsidDel="00000000" w:rsidP="00000000" w:rsidRDefault="00000000" w:rsidRPr="00000000" w14:paraId="00000086">
            <w:pPr>
              <w:spacing w:line="24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ffffff"/>
                <w:sz w:val="18"/>
                <w:szCs w:val="18"/>
                <w:rtl w:val="0"/>
              </w:rPr>
              <w:t xml:space="preserve">Why this one</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1a1a1a" w:val="clear"/>
            <w:tcMar>
              <w:top w:w="100.0" w:type="dxa"/>
              <w:left w:w="140.0" w:type="dxa"/>
              <w:bottom w:w="100.0" w:type="dxa"/>
              <w:right w:w="140.0" w:type="dxa"/>
            </w:tcMar>
          </w:tcPr>
          <w:p w:rsidR="00000000" w:rsidDel="00000000" w:rsidP="00000000" w:rsidRDefault="00000000" w:rsidRPr="00000000" w14:paraId="00000087">
            <w:pPr>
              <w:spacing w:line="24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ffffff"/>
                <w:sz w:val="18"/>
                <w:szCs w:val="18"/>
                <w:rtl w:val="0"/>
              </w:rPr>
              <w:t xml:space="preserve">Acceptable Alternatives</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88">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SMS</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89">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Africa's Talking (free sandbox)</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8A">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Free two-way SMS sandbox with virtual short codes; no credit card; works with Ethiopian +251 numbers; African-developer-friendly onboarding.</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8B">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Centralized Twilio rig operated by program staff; Telnyx (requires business email and KYC).</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8C">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Voice (bonus)</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8D">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Tenacious Shared Voice Rig</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8E">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Program-operated single Twilio or Telnyx account exposing a webhook ingress layer. Trainees register their handler URL and a keyword; voice traffic is routed to them.</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8F">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LiveKit WebRTC browser client for voice-loop development without PSTN.</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90">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CRM</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91">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HubSpot Developer Sandbox</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92">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Free; no credit card; Native MCP server launched Feb 2026 with nine tools; 100 API calls per 10 seconds.</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93">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Salesforce Developer Edition if MCP is not required.</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94">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Calendar</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95">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Cal.com (self-hosted via Docker)</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96">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Real booking flow; no vendor lock-in; open source; runs on a $5/mo VPS.</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97">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Google Calendar API with OAuth.</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98">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Backbone LLM (dev tier)</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99">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OpenRouter with Qwen3-Next-80B-A3B or DeepSeek V3.2</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9A">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Low cost per token for probe and ablation development. Target: under $4 for Days 1–4.</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9B">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Local Qwen3 or Llama via Ollama if you have GPU access.</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9C">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Backbone LLM (eval tier)</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9D">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Claude Sonnet 4.6 or GPT-5 class</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9E">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Used for final held-out scoring runs only. Target: under $12 for Days 5–7.</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9F">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Gemini 2.5 Pro via AI Studio free tier.</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A0">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Web research / enrichment</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A1">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Playwright + a small FastAPI wrapper</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A2">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Free; programmatic; no API budget needed.</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A3">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TinyFish or Browser Use if you have credit.</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A4">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Observability</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A5">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Langfuse (cloud free tier, 50K traces)</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A6">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Per-trace cost attribution; OpenTelemetry native; prompt versioning.</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A7">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MLflow Tracing self-hosted on the same VPS.</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A8">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Evaluation harness</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A9">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τ²-Bench (Sierra Research)</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AA">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Published SOTA; compositional task generator; dual-control ground truth.</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AB">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None — this is the benchmark anchor.</w:t>
            </w:r>
            <w:r w:rsidDel="00000000" w:rsidR="00000000" w:rsidRPr="00000000">
              <w:rPr>
                <w:rtl w:val="0"/>
              </w:rPr>
            </w:r>
          </w:p>
        </w:tc>
      </w:tr>
    </w:tbl>
    <w:p w:rsidR="00000000" w:rsidDel="00000000" w:rsidP="00000000" w:rsidRDefault="00000000" w:rsidRPr="00000000" w14:paraId="000000AC">
      <w:pPr>
        <w:pStyle w:val="Heading2"/>
        <w:keepNext w:val="0"/>
        <w:keepLines w:val="0"/>
        <w:spacing w:before="320" w:line="240" w:lineRule="auto"/>
        <w:rPr>
          <w:rFonts w:ascii="Montserrat" w:cs="Montserrat" w:eastAsia="Montserrat" w:hAnsi="Montserrat"/>
          <w:b w:val="1"/>
          <w:bCs w:val="1"/>
          <w:color w:val="1a1a1a"/>
          <w:sz w:val="24"/>
          <w:szCs w:val="24"/>
        </w:rPr>
      </w:pPr>
      <w:r w:rsidDel="00000000" w:rsidR="00000000" w:rsidRPr="00000000">
        <w:rPr>
          <w:rFonts w:ascii="Montserrat" w:cs="Montserrat" w:eastAsia="Montserrat" w:hAnsi="Montserrat"/>
          <w:b w:val="1"/>
          <w:bCs w:val="1"/>
          <w:color w:val="1a1a1a"/>
          <w:sz w:val="24"/>
          <w:szCs w:val="24"/>
          <w:rtl w:val="0"/>
        </w:rPr>
        <w:t xml:space="preserve">The Tenacious Shared Voice Rig</w:t>
      </w:r>
    </w:p>
    <w:p w:rsidR="00000000" w:rsidDel="00000000" w:rsidP="00000000" w:rsidRDefault="00000000" w:rsidRPr="00000000" w14:paraId="000000AD">
      <w:pPr>
        <w:spacing w:after="80" w:before="80" w:line="30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Program staff operate a single paid telephony account (Twilio or Telnyx). Trainees do not sign up for carriers, do not enter credit cards, do not register for A2P 10DLC. Instead, each trainee:</w:t>
      </w:r>
    </w:p>
    <w:p w:rsidR="00000000" w:rsidDel="00000000" w:rsidP="00000000" w:rsidRDefault="00000000" w:rsidRPr="00000000" w14:paraId="000000AE">
      <w:pPr>
        <w:numPr>
          <w:ilvl w:val="0"/>
          <w:numId w:val="2"/>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Registers a public webhook URL with the shared rig dashboard at the start of the week.</w:t>
      </w:r>
    </w:p>
    <w:p w:rsidR="00000000" w:rsidDel="00000000" w:rsidP="00000000" w:rsidRDefault="00000000" w:rsidRPr="00000000" w14:paraId="000000AF">
      <w:pPr>
        <w:numPr>
          <w:ilvl w:val="0"/>
          <w:numId w:val="2"/>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Declares a keyword prefix (for example, TR-7) that the rig uses to route inbound messages or calls to their handler.</w:t>
      </w:r>
    </w:p>
    <w:p w:rsidR="00000000" w:rsidDel="00000000" w:rsidP="00000000" w:rsidRDefault="00000000" w:rsidRPr="00000000" w14:paraId="000000B0">
      <w:pPr>
        <w:numPr>
          <w:ilvl w:val="0"/>
          <w:numId w:val="2"/>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Receives a daily cost report for their own traffic through the rig.</w:t>
      </w:r>
    </w:p>
    <w:p w:rsidR="00000000" w:rsidDel="00000000" w:rsidP="00000000" w:rsidRDefault="00000000" w:rsidRPr="00000000" w14:paraId="000000B1">
      <w:pPr>
        <w:numPr>
          <w:ilvl w:val="0"/>
          <w:numId w:val="2"/>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Is automatically rate-limited if they exceed the per-trainee voice budget of $3 per day.</w:t>
      </w:r>
    </w:p>
    <w:p w:rsidR="00000000" w:rsidDel="00000000" w:rsidP="00000000" w:rsidRDefault="00000000" w:rsidRPr="00000000" w14:paraId="000000B2">
      <w:pPr>
        <w:spacing w:after="80" w:before="80" w:line="30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The rig itself is a thin WebSocket gateway plus a PostgreSQL routing table. Its source will be published at the start of Week 10 so trainees can inspect how it works. The rig is not a graded deliverable; it is infrastructure.</w:t>
      </w:r>
    </w:p>
    <w:p w:rsidR="00000000" w:rsidDel="00000000" w:rsidP="00000000" w:rsidRDefault="00000000" w:rsidRPr="00000000" w14:paraId="000000B3">
      <w:pPr>
        <w:pStyle w:val="Heading2"/>
        <w:keepNext w:val="0"/>
        <w:keepLines w:val="0"/>
        <w:spacing w:before="320" w:line="240" w:lineRule="auto"/>
        <w:rPr>
          <w:rFonts w:ascii="Montserrat" w:cs="Montserrat" w:eastAsia="Montserrat" w:hAnsi="Montserrat"/>
          <w:b w:val="1"/>
          <w:bCs w:val="1"/>
          <w:color w:val="1a1a1a"/>
          <w:sz w:val="24"/>
          <w:szCs w:val="24"/>
        </w:rPr>
      </w:pPr>
      <w:r w:rsidDel="00000000" w:rsidR="00000000" w:rsidRPr="00000000">
        <w:rPr>
          <w:rFonts w:ascii="Montserrat" w:cs="Montserrat" w:eastAsia="Montserrat" w:hAnsi="Montserrat"/>
          <w:b w:val="1"/>
          <w:bCs w:val="1"/>
          <w:color w:val="1a1a1a"/>
          <w:sz w:val="24"/>
          <w:szCs w:val="24"/>
          <w:rtl w:val="0"/>
        </w:rPr>
        <w:t xml:space="preserve">Budget Envelope</w:t>
      </w:r>
    </w:p>
    <w:p w:rsidR="00000000" w:rsidDel="00000000" w:rsidP="00000000" w:rsidRDefault="00000000" w:rsidRPr="00000000" w14:paraId="000000B4">
      <w:pPr>
        <w:spacing w:after="80" w:before="80" w:line="30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The stack is designed to fit inside free tiers and small credit grants. Exceeding the budget triggers an automatic grading penalty — cost discipline is an FDE skill, not a suggestion.</w:t>
      </w:r>
    </w:p>
    <w:p w:rsidR="00000000" w:rsidDel="00000000" w:rsidP="00000000" w:rsidRDefault="00000000" w:rsidRPr="00000000" w14:paraId="000000B5">
      <w:pPr>
        <w:spacing w:before="60" w:line="240" w:lineRule="auto"/>
        <w:rPr>
          <w:rFonts w:ascii="Montserrat" w:cs="Montserrat" w:eastAsia="Montserrat" w:hAnsi="Montserrat"/>
          <w:color w:val="2b2b2b"/>
          <w:sz w:val="20"/>
          <w:szCs w:val="20"/>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400"/>
        <w:gridCol w:w="3960"/>
        <w:tblGridChange w:id="0">
          <w:tblGrid>
            <w:gridCol w:w="3000"/>
            <w:gridCol w:w="2400"/>
            <w:gridCol w:w="3960"/>
          </w:tblGrid>
        </w:tblGridChange>
      </w:tblGrid>
      <w:tr>
        <w:trPr>
          <w:cantSplit w:val="0"/>
          <w:tblHeader w:val="1"/>
        </w:trPr>
        <w:tc>
          <w:tcPr>
            <w:tcBorders>
              <w:top w:color="d4d4d4" w:space="0" w:sz="4" w:val="single"/>
              <w:left w:color="d4d4d4" w:space="0" w:sz="4" w:val="single"/>
              <w:bottom w:color="d4d4d4" w:space="0" w:sz="4" w:val="single"/>
              <w:right w:color="d4d4d4" w:space="0" w:sz="4" w:val="single"/>
            </w:tcBorders>
            <w:shd w:fill="1a1a1a" w:val="clear"/>
            <w:tcMar>
              <w:top w:w="100.0" w:type="dxa"/>
              <w:left w:w="140.0" w:type="dxa"/>
              <w:bottom w:w="100.0" w:type="dxa"/>
              <w:right w:w="140.0" w:type="dxa"/>
            </w:tcMar>
          </w:tcPr>
          <w:p w:rsidR="00000000" w:rsidDel="00000000" w:rsidP="00000000" w:rsidRDefault="00000000" w:rsidRPr="00000000" w14:paraId="000000B6">
            <w:pPr>
              <w:spacing w:line="24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ffffff"/>
                <w:sz w:val="18"/>
                <w:szCs w:val="18"/>
                <w:rtl w:val="0"/>
              </w:rPr>
              <w:t xml:space="preserve">Item</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1a1a1a" w:val="clear"/>
            <w:tcMar>
              <w:top w:w="100.0" w:type="dxa"/>
              <w:left w:w="140.0" w:type="dxa"/>
              <w:bottom w:w="100.0" w:type="dxa"/>
              <w:right w:w="140.0" w:type="dxa"/>
            </w:tcMar>
          </w:tcPr>
          <w:p w:rsidR="00000000" w:rsidDel="00000000" w:rsidP="00000000" w:rsidRDefault="00000000" w:rsidRPr="00000000" w14:paraId="000000B7">
            <w:pPr>
              <w:spacing w:line="24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ffffff"/>
                <w:sz w:val="18"/>
                <w:szCs w:val="18"/>
                <w:rtl w:val="0"/>
              </w:rPr>
              <w:t xml:space="preserve">Cost Target</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1a1a1a" w:val="clear"/>
            <w:tcMar>
              <w:top w:w="100.0" w:type="dxa"/>
              <w:left w:w="140.0" w:type="dxa"/>
              <w:bottom w:w="100.0" w:type="dxa"/>
              <w:right w:w="140.0" w:type="dxa"/>
            </w:tcMar>
          </w:tcPr>
          <w:p w:rsidR="00000000" w:rsidDel="00000000" w:rsidP="00000000" w:rsidRDefault="00000000" w:rsidRPr="00000000" w14:paraId="000000B8">
            <w:pPr>
              <w:spacing w:line="24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ffffff"/>
                <w:sz w:val="18"/>
                <w:szCs w:val="18"/>
                <w:rtl w:val="0"/>
              </w:rPr>
              <w:t xml:space="preserve">Notes</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B9">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Africa's Talking sandbox (SMS)</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BA">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$0</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BB">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Free; two-way SMS virtual short codes; works from Day 1.</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BC">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Shared Voice Rig usage (voice bonus only)</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BD">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 $3 per day</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BE">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Hard-enforced by program-operated rate limit.</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BF">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HubSpot Developer Sandbox</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C0">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$0</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C1">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Free; 100 API calls per 10s window.</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C2">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Cal.com self-hosted</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C3">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$0</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C4">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Docker Compose on localhost or $5 VPS.</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C5">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LLM, development tier </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C6">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 $4</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C7">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OpenRouter Qwen3 / DeepSeek for probes, ablations, τ²-Bench iteration.</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C8">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LLM, evaluation tier </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C9">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 $12</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CA">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Claude or GPT-5 for sealed held-out scoring only.</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CB">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Langfuse cloud</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CC">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$0</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CD">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Free tier 50K traces.</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CE">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Total</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CF">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 $20 per trainee</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D0">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Trainees who exceed this must document the overage in the final memo.</w:t>
            </w:r>
            <w:r w:rsidDel="00000000" w:rsidR="00000000" w:rsidRPr="00000000">
              <w:rPr>
                <w:rtl w:val="0"/>
              </w:rPr>
            </w:r>
          </w:p>
        </w:tc>
      </w:tr>
    </w:tbl>
    <w:p w:rsidR="00000000" w:rsidDel="00000000" w:rsidP="00000000" w:rsidRDefault="00000000" w:rsidRPr="00000000" w14:paraId="000000D1">
      <w:pPr>
        <w:spacing w:line="240" w:lineRule="auto"/>
        <w:rPr>
          <w:rFonts w:ascii="Montserrat" w:cs="Montserrat" w:eastAsia="Montserrat" w:hAnsi="Montserrat"/>
          <w:color w:val="2b2b2b"/>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D2">
      <w:pPr>
        <w:pStyle w:val="Heading1"/>
        <w:keepNext w:val="0"/>
        <w:keepLines w:val="0"/>
        <w:spacing w:after="180" w:before="480" w:line="240" w:lineRule="auto"/>
        <w:rPr>
          <w:rFonts w:ascii="Montserrat" w:cs="Montserrat" w:eastAsia="Montserrat" w:hAnsi="Montserrat"/>
          <w:b w:val="1"/>
          <w:bCs w:val="1"/>
          <w:color w:val="1a1a1a"/>
          <w:sz w:val="32"/>
          <w:szCs w:val="32"/>
        </w:rPr>
      </w:pPr>
      <w:r w:rsidDel="00000000" w:rsidR="00000000" w:rsidRPr="00000000">
        <w:rPr>
          <w:rFonts w:ascii="Montserrat" w:cs="Montserrat" w:eastAsia="Montserrat" w:hAnsi="Montserrat"/>
          <w:b w:val="1"/>
          <w:bCs w:val="1"/>
          <w:color w:val="1a1a1a"/>
          <w:sz w:val="32"/>
          <w:szCs w:val="32"/>
          <w:rtl w:val="0"/>
        </w:rPr>
        <w:t xml:space="preserve">Day 0 — Pre-flight Checklist</w:t>
      </w:r>
    </w:p>
    <w:p w:rsidR="00000000" w:rsidDel="00000000" w:rsidP="00000000" w:rsidRDefault="00000000" w:rsidRPr="00000000" w14:paraId="000000D3">
      <w:pPr>
        <w:spacing w:after="80" w:before="80" w:line="30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This checklist must be completed before Day 1 begins. It is roughly four hours of setup work. A trainee who cannot complete it is not ready for the week and will be caught on Day 0, not Day 2. Program staff will run a 30-minute readiness review on the morning of Day 1 to confirm each item.</w:t>
      </w:r>
    </w:p>
    <w:p w:rsidR="00000000" w:rsidDel="00000000" w:rsidP="00000000" w:rsidRDefault="00000000" w:rsidRPr="00000000" w14:paraId="000000D4">
      <w:pPr>
        <w:spacing w:before="80" w:line="240" w:lineRule="auto"/>
        <w:rPr>
          <w:rFonts w:ascii="Montserrat" w:cs="Montserrat" w:eastAsia="Montserrat" w:hAnsi="Montserrat"/>
          <w:color w:val="2b2b2b"/>
          <w:sz w:val="20"/>
          <w:szCs w:val="20"/>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1"/>
        </w:trPr>
        <w:tc>
          <w:tcPr>
            <w:tcBorders>
              <w:top w:color="d4d4d4" w:space="0" w:sz="4" w:val="single"/>
              <w:left w:color="d4d4d4" w:space="0" w:sz="4" w:val="single"/>
              <w:bottom w:color="d4d4d4" w:space="0" w:sz="4" w:val="single"/>
              <w:right w:color="d4d4d4" w:space="0" w:sz="4" w:val="single"/>
            </w:tcBorders>
            <w:shd w:fill="1a1a1a" w:val="clear"/>
            <w:tcMar>
              <w:top w:w="100.0" w:type="dxa"/>
              <w:left w:w="140.0" w:type="dxa"/>
              <w:bottom w:w="100.0" w:type="dxa"/>
              <w:right w:w="140.0" w:type="dxa"/>
            </w:tcMar>
          </w:tcPr>
          <w:p w:rsidR="00000000" w:rsidDel="00000000" w:rsidP="00000000" w:rsidRDefault="00000000" w:rsidRPr="00000000" w14:paraId="000000D5">
            <w:pPr>
              <w:spacing w:line="24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ffffff"/>
                <w:sz w:val="18"/>
                <w:szCs w:val="18"/>
                <w:rtl w:val="0"/>
              </w:rPr>
              <w:t xml:space="preserve">Pre-flight Item</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1a1a1a" w:val="clear"/>
            <w:tcMar>
              <w:top w:w="100.0" w:type="dxa"/>
              <w:left w:w="140.0" w:type="dxa"/>
              <w:bottom w:w="100.0" w:type="dxa"/>
              <w:right w:w="140.0" w:type="dxa"/>
            </w:tcMar>
          </w:tcPr>
          <w:p w:rsidR="00000000" w:rsidDel="00000000" w:rsidP="00000000" w:rsidRDefault="00000000" w:rsidRPr="00000000" w14:paraId="000000D6">
            <w:pPr>
              <w:spacing w:line="24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ffffff"/>
                <w:sz w:val="18"/>
                <w:szCs w:val="18"/>
                <w:rtl w:val="0"/>
              </w:rPr>
              <w:t xml:space="preserve">What done looks like</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D7">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Africa's Talking sandbox account provisioned</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D8">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Logged into account.africastalking.com/apps/sandbox. Created one virtual short code. Sent a test SMS from your own Ethiopian number to the short code and received a webhook POST to your test URL.</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D9">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HubSpot Developer Sandbox provisioned</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DA">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Signed up at developers.hubspot.com. Created an app. Installed the MCP server. Created one test contact via the API.</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DB">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Cal.com running locally</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DC">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docker compose up from the official cal.com repo. Logged into the local admin. Created one test event type. Booked one slot via the public booking URL.</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DD">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Langfuse cloud account</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DE">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Signed up. Created a project. Sent one test trace via the SDK.</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DF">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τ²-Bench cloned and one task run</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E0">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git clone of sierra-research/tau2-bench. Ran the retail domain with the pinned dev-tier model against three tasks. Saw a pass@1 number.</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E1">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Shared Voice Rig registered (bonus tier only)</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E2">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Webhook URL and keyword prefix registered via the rig dashboard. One test SMS routed end-to-end.</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E3">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Evidence-graph scaffolding repo forked</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E4">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Forked the starter repo. Able to run the evidence_graph validator against the sample trace file.</w:t>
            </w:r>
            <w:r w:rsidDel="00000000" w:rsidR="00000000" w:rsidRPr="00000000">
              <w:rPr>
                <w:rtl w:val="0"/>
              </w:rPr>
            </w:r>
          </w:p>
        </w:tc>
      </w:tr>
    </w:tbl>
    <w:p w:rsidR="00000000" w:rsidDel="00000000" w:rsidP="00000000" w:rsidRDefault="00000000" w:rsidRPr="00000000" w14:paraId="000000E5">
      <w:pPr>
        <w:spacing w:before="120" w:line="240" w:lineRule="auto"/>
        <w:rPr>
          <w:rFonts w:ascii="Montserrat" w:cs="Montserrat" w:eastAsia="Montserrat" w:hAnsi="Montserrat"/>
          <w:color w:val="2b2b2b"/>
          <w:sz w:val="20"/>
          <w:szCs w:val="20"/>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a5a3e" w:space="0" w:sz="4" w:val="single"/>
              <w:left w:color="2a5a3e" w:space="0" w:sz="4" w:val="single"/>
              <w:bottom w:color="2a5a3e" w:space="0" w:sz="4" w:val="single"/>
              <w:right w:color="2a5a3e" w:space="0" w:sz="4" w:val="single"/>
            </w:tcBorders>
            <w:shd w:fill="dde8de" w:val="clear"/>
            <w:tcMar>
              <w:top w:w="160.0" w:type="dxa"/>
              <w:left w:w="200.0" w:type="dxa"/>
              <w:bottom w:w="160.0" w:type="dxa"/>
              <w:right w:w="200.0" w:type="dxa"/>
            </w:tcMar>
          </w:tcPr>
          <w:p w:rsidR="00000000" w:rsidDel="00000000" w:rsidP="00000000" w:rsidRDefault="00000000" w:rsidRPr="00000000" w14:paraId="000000E6">
            <w:pPr>
              <w:spacing w:after="80" w:line="24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2a5a3e"/>
                <w:sz w:val="20"/>
                <w:szCs w:val="20"/>
                <w:rtl w:val="0"/>
              </w:rPr>
              <w:t xml:space="preserve">A note on blockers</w:t>
            </w:r>
            <w:r w:rsidDel="00000000" w:rsidR="00000000" w:rsidRPr="00000000">
              <w:rPr>
                <w:rtl w:val="0"/>
              </w:rPr>
            </w:r>
          </w:p>
          <w:p w:rsidR="00000000" w:rsidDel="00000000" w:rsidP="00000000" w:rsidRDefault="00000000" w:rsidRPr="00000000" w14:paraId="000000E7">
            <w:pPr>
              <w:spacing w:line="30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1a1a1a"/>
                <w:sz w:val="19"/>
                <w:szCs w:val="19"/>
                <w:rtl w:val="0"/>
              </w:rPr>
              <w:t xml:space="preserve">If any item above blocks you for more than 90 minutes on Day 0, raise it in the program channel immediately. The whole point of Day 0 is to hit these walls in front of staff rather than alone at 11 PM on Day 2.</w:t>
            </w:r>
            <w:r w:rsidDel="00000000" w:rsidR="00000000" w:rsidRPr="00000000">
              <w:rPr>
                <w:rtl w:val="0"/>
              </w:rPr>
            </w:r>
          </w:p>
        </w:tc>
      </w:tr>
    </w:tbl>
    <w:p w:rsidR="00000000" w:rsidDel="00000000" w:rsidP="00000000" w:rsidRDefault="00000000" w:rsidRPr="00000000" w14:paraId="000000E8">
      <w:pPr>
        <w:spacing w:line="240" w:lineRule="auto"/>
        <w:rPr>
          <w:rFonts w:ascii="Montserrat" w:cs="Montserrat" w:eastAsia="Montserrat" w:hAnsi="Montserrat"/>
          <w:color w:val="2b2b2b"/>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E9">
      <w:pPr>
        <w:pStyle w:val="Heading1"/>
        <w:keepNext w:val="0"/>
        <w:keepLines w:val="0"/>
        <w:spacing w:after="180" w:before="480" w:line="240" w:lineRule="auto"/>
        <w:rPr>
          <w:rFonts w:ascii="Montserrat" w:cs="Montserrat" w:eastAsia="Montserrat" w:hAnsi="Montserrat"/>
          <w:b w:val="1"/>
          <w:bCs w:val="1"/>
          <w:color w:val="1a1a1a"/>
          <w:sz w:val="32"/>
          <w:szCs w:val="32"/>
        </w:rPr>
      </w:pPr>
      <w:r w:rsidDel="00000000" w:rsidR="00000000" w:rsidRPr="00000000">
        <w:rPr>
          <w:rFonts w:ascii="Montserrat" w:cs="Montserrat" w:eastAsia="Montserrat" w:hAnsi="Montserrat"/>
          <w:b w:val="1"/>
          <w:bCs w:val="1"/>
          <w:color w:val="1a1a1a"/>
          <w:sz w:val="32"/>
          <w:szCs w:val="32"/>
          <w:rtl w:val="0"/>
        </w:rPr>
        <w:t xml:space="preserve">The Five-Act Loop</w:t>
      </w:r>
    </w:p>
    <w:p w:rsidR="00000000" w:rsidDel="00000000" w:rsidP="00000000" w:rsidRDefault="00000000" w:rsidRPr="00000000" w14:paraId="000000EA">
      <w:pPr>
        <w:spacing w:after="80" w:before="80" w:line="30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The week is structured as a five-act loop. Each act has a named deliverable that must exist at the end of that day. Missing a deliverable does not mean 'catch up tomorrow'. It means the subsequent act has no foundation. The week is graded on the five deliverables plus the final memo that integrates them.</w:t>
      </w:r>
    </w:p>
    <w:p w:rsidR="00000000" w:rsidDel="00000000" w:rsidP="00000000" w:rsidRDefault="00000000" w:rsidRPr="00000000" w14:paraId="000000EB">
      <w:pPr>
        <w:pStyle w:val="Heading2"/>
        <w:keepNext w:val="0"/>
        <w:keepLines w:val="0"/>
        <w:spacing w:before="320" w:line="240" w:lineRule="auto"/>
        <w:rPr>
          <w:rFonts w:ascii="Montserrat" w:cs="Montserrat" w:eastAsia="Montserrat" w:hAnsi="Montserrat"/>
          <w:b w:val="1"/>
          <w:bCs w:val="1"/>
          <w:color w:val="1a1a1a"/>
          <w:sz w:val="24"/>
          <w:szCs w:val="24"/>
        </w:rPr>
      </w:pPr>
      <w:r w:rsidDel="00000000" w:rsidR="00000000" w:rsidRPr="00000000">
        <w:rPr>
          <w:rFonts w:ascii="Montserrat" w:cs="Montserrat" w:eastAsia="Montserrat" w:hAnsi="Montserrat"/>
          <w:b w:val="1"/>
          <w:bCs w:val="1"/>
          <w:color w:val="1a1a1a"/>
          <w:sz w:val="24"/>
          <w:szCs w:val="24"/>
          <w:rtl w:val="0"/>
        </w:rPr>
        <w:t xml:space="preserve">Act I — Baseline and Ground Truth</w:t>
      </w:r>
    </w:p>
    <w:p w:rsidR="00000000" w:rsidDel="00000000" w:rsidP="00000000" w:rsidRDefault="00000000" w:rsidRPr="00000000" w14:paraId="000000EC">
      <w:pPr>
        <w:spacing w:after="80" w:before="80" w:line="30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Goal: Reproduce a τ²-Bench retail baseline within the pinned model and settings. Establish your own ground-truth baseline before touching any production code.</w:t>
      </w:r>
    </w:p>
    <w:p w:rsidR="00000000" w:rsidDel="00000000" w:rsidP="00000000" w:rsidRDefault="00000000" w:rsidRPr="00000000" w14:paraId="000000ED">
      <w:pPr>
        <w:pStyle w:val="Heading3"/>
        <w:keepNext w:val="0"/>
        <w:keepLines w:val="0"/>
        <w:spacing w:before="240" w:line="240" w:lineRule="auto"/>
        <w:rPr>
          <w:rFonts w:ascii="Montserrat" w:cs="Montserrat" w:eastAsia="Montserrat" w:hAnsi="Montserrat"/>
          <w:b w:val="1"/>
          <w:bCs w:val="1"/>
          <w:color w:val="3f3f3f"/>
          <w:sz w:val="20"/>
          <w:szCs w:val="20"/>
        </w:rPr>
      </w:pPr>
      <w:r w:rsidDel="00000000" w:rsidR="00000000" w:rsidRPr="00000000">
        <w:rPr>
          <w:rFonts w:ascii="Montserrat" w:cs="Montserrat" w:eastAsia="Montserrat" w:hAnsi="Montserrat"/>
          <w:b w:val="1"/>
          <w:bCs w:val="1"/>
          <w:color w:val="3f3f3f"/>
          <w:sz w:val="20"/>
          <w:szCs w:val="20"/>
          <w:rtl w:val="0"/>
        </w:rPr>
        <w:t xml:space="preserve">Tasks</w:t>
      </w:r>
    </w:p>
    <w:p w:rsidR="00000000" w:rsidDel="00000000" w:rsidP="00000000" w:rsidRDefault="00000000" w:rsidRPr="00000000" w14:paraId="000000EE">
      <w:pPr>
        <w:numPr>
          <w:ilvl w:val="0"/>
          <w:numId w:val="1"/>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Clone sierra-research/tau2-bench. Run the retail domain with the pinned dev-tier model. Target: within 3 percentage points of the published reference, but this is a soft target rather than a gate.</w:t>
      </w:r>
    </w:p>
    <w:p w:rsidR="00000000" w:rsidDel="00000000" w:rsidP="00000000" w:rsidRDefault="00000000" w:rsidRPr="00000000" w14:paraId="000000EF">
      <w:pPr>
        <w:numPr>
          <w:ilvl w:val="0"/>
          <w:numId w:val="1"/>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Configure your evaluation harness wrapping τ²-Bench so that every run writes a trace_log.jsonl to Langfuse and updates a score_log.json.</w:t>
      </w:r>
    </w:p>
    <w:p w:rsidR="00000000" w:rsidDel="00000000" w:rsidP="00000000" w:rsidRDefault="00000000" w:rsidRPr="00000000" w14:paraId="000000F0">
      <w:pPr>
        <w:numPr>
          <w:ilvl w:val="0"/>
          <w:numId w:val="1"/>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Partition the 50 retail tasks into a development slice (30) and a sealed held-out slice (20). The held-out split is generated by program staff and delivered via a harness that does not expose the task content until Act IV scoring.</w:t>
      </w:r>
    </w:p>
    <w:p w:rsidR="00000000" w:rsidDel="00000000" w:rsidP="00000000" w:rsidRDefault="00000000" w:rsidRPr="00000000" w14:paraId="000000F1">
      <w:pPr>
        <w:numPr>
          <w:ilvl w:val="0"/>
          <w:numId w:val="1"/>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Baseline your dev-tier LLM across a 5-trial pass@1 on the dev slice. Record mean, 95% CI, cost per run, wall-clock p50/p95.</w:t>
      </w:r>
    </w:p>
    <w:p w:rsidR="00000000" w:rsidDel="00000000" w:rsidP="00000000" w:rsidRDefault="00000000" w:rsidRPr="00000000" w14:paraId="000000F2">
      <w:pPr>
        <w:pStyle w:val="Heading3"/>
        <w:keepNext w:val="0"/>
        <w:keepLines w:val="0"/>
        <w:spacing w:before="240" w:line="240" w:lineRule="auto"/>
        <w:rPr>
          <w:rFonts w:ascii="Montserrat" w:cs="Montserrat" w:eastAsia="Montserrat" w:hAnsi="Montserrat"/>
          <w:b w:val="1"/>
          <w:bCs w:val="1"/>
          <w:color w:val="3f3f3f"/>
          <w:sz w:val="20"/>
          <w:szCs w:val="20"/>
        </w:rPr>
      </w:pPr>
      <w:r w:rsidDel="00000000" w:rsidR="00000000" w:rsidRPr="00000000">
        <w:rPr>
          <w:rFonts w:ascii="Montserrat" w:cs="Montserrat" w:eastAsia="Montserrat" w:hAnsi="Montserrat"/>
          <w:b w:val="1"/>
          <w:bCs w:val="1"/>
          <w:color w:val="3f3f3f"/>
          <w:sz w:val="20"/>
          <w:szCs w:val="20"/>
          <w:rtl w:val="0"/>
        </w:rPr>
        <w:t xml:space="preserve">Deliverable</w:t>
      </w:r>
    </w:p>
    <w:p w:rsidR="00000000" w:rsidDel="00000000" w:rsidP="00000000" w:rsidRDefault="00000000" w:rsidRPr="00000000" w14:paraId="000000F3">
      <w:pPr>
        <w:numPr>
          <w:ilvl w:val="0"/>
          <w:numId w:val="1"/>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score_log.json with at minimum two entries: your dev-tier baseline and a small-scale reproduction check, both with 95% CI.</w:t>
      </w:r>
    </w:p>
    <w:p w:rsidR="00000000" w:rsidDel="00000000" w:rsidP="00000000" w:rsidRDefault="00000000" w:rsidRPr="00000000" w14:paraId="000000F4">
      <w:pPr>
        <w:numPr>
          <w:ilvl w:val="0"/>
          <w:numId w:val="1"/>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trace_log.jsonl with full τ²-Bench trajectories across all dev trials.</w:t>
      </w:r>
    </w:p>
    <w:p w:rsidR="00000000" w:rsidDel="00000000" w:rsidP="00000000" w:rsidRDefault="00000000" w:rsidRPr="00000000" w14:paraId="000000F5">
      <w:pPr>
        <w:numPr>
          <w:ilvl w:val="0"/>
          <w:numId w:val="1"/>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baseline.md (max 400 words): what you reproduced, your confidence interval, cost per evaluation run, any unexpected behavior.</w:t>
      </w:r>
    </w:p>
    <w:p w:rsidR="00000000" w:rsidDel="00000000" w:rsidP="00000000" w:rsidRDefault="00000000" w:rsidRPr="00000000" w14:paraId="000000F6">
      <w:pPr>
        <w:pStyle w:val="Heading2"/>
        <w:keepNext w:val="0"/>
        <w:keepLines w:val="0"/>
        <w:spacing w:before="320" w:line="240" w:lineRule="auto"/>
        <w:rPr>
          <w:rFonts w:ascii="Montserrat" w:cs="Montserrat" w:eastAsia="Montserrat" w:hAnsi="Montserrat"/>
          <w:b w:val="1"/>
          <w:bCs w:val="1"/>
          <w:color w:val="1a1a1a"/>
          <w:sz w:val="24"/>
          <w:szCs w:val="24"/>
        </w:rPr>
      </w:pPr>
      <w:r w:rsidDel="00000000" w:rsidR="00000000" w:rsidRPr="00000000">
        <w:rPr>
          <w:rFonts w:ascii="Montserrat" w:cs="Montserrat" w:eastAsia="Montserrat" w:hAnsi="Montserrat"/>
          <w:b w:val="1"/>
          <w:bCs w:val="1"/>
          <w:color w:val="1a1a1a"/>
          <w:sz w:val="24"/>
          <w:szCs w:val="24"/>
          <w:rtl w:val="0"/>
        </w:rPr>
        <w:t xml:space="preserve">Act II — Production Stack Assembly</w:t>
      </w:r>
    </w:p>
    <w:p w:rsidR="00000000" w:rsidDel="00000000" w:rsidP="00000000" w:rsidRDefault="00000000" w:rsidRPr="00000000" w14:paraId="000000F7">
      <w:pPr>
        <w:spacing w:after="80" w:before="80" w:line="30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Goal: Stand up the full SMS plus CRM plus calendar plus enrichment loop. Handle one real SMS conversation end-to-end. Write one real HubSpot record end-to-end. Book one real calendar slot end-to-end. Voice is a bonus tier for Days 6–7.</w:t>
      </w:r>
    </w:p>
    <w:p w:rsidR="00000000" w:rsidDel="00000000" w:rsidP="00000000" w:rsidRDefault="00000000" w:rsidRPr="00000000" w14:paraId="000000F8">
      <w:pPr>
        <w:pStyle w:val="Heading3"/>
        <w:keepNext w:val="0"/>
        <w:keepLines w:val="0"/>
        <w:spacing w:before="240" w:line="240" w:lineRule="auto"/>
        <w:rPr>
          <w:rFonts w:ascii="Montserrat" w:cs="Montserrat" w:eastAsia="Montserrat" w:hAnsi="Montserrat"/>
          <w:b w:val="1"/>
          <w:bCs w:val="1"/>
          <w:color w:val="3f3f3f"/>
          <w:sz w:val="20"/>
          <w:szCs w:val="20"/>
        </w:rPr>
      </w:pPr>
      <w:r w:rsidDel="00000000" w:rsidR="00000000" w:rsidRPr="00000000">
        <w:rPr>
          <w:rFonts w:ascii="Montserrat" w:cs="Montserrat" w:eastAsia="Montserrat" w:hAnsi="Montserrat"/>
          <w:b w:val="1"/>
          <w:bCs w:val="1"/>
          <w:color w:val="3f3f3f"/>
          <w:sz w:val="20"/>
          <w:szCs w:val="20"/>
          <w:rtl w:val="0"/>
        </w:rPr>
        <w:t xml:space="preserve">Required integrations</w:t>
      </w:r>
    </w:p>
    <w:p w:rsidR="00000000" w:rsidDel="00000000" w:rsidP="00000000" w:rsidRDefault="00000000" w:rsidRPr="00000000" w14:paraId="000000F9">
      <w:pPr>
        <w:numPr>
          <w:ilvl w:val="0"/>
          <w:numId w:val="1"/>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Africa's Talking sandbox webhook receiving inbound SMS on your virtual short code. Backend routes to your LLM agent. STOP, HELP, and UNSUB commands handled correctly. Conversation state persisted.</w:t>
      </w:r>
    </w:p>
    <w:p w:rsidR="00000000" w:rsidDel="00000000" w:rsidP="00000000" w:rsidRDefault="00000000" w:rsidRPr="00000000" w14:paraId="000000FA">
      <w:pPr>
        <w:numPr>
          <w:ilvl w:val="0"/>
          <w:numId w:val="1"/>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HubSpot Developer Sandbox via MCP. Your agent writes back to HubSpot for every conversation. Nine MCP tools exposed and used appropriately.</w:t>
      </w:r>
    </w:p>
    <w:p w:rsidR="00000000" w:rsidDel="00000000" w:rsidP="00000000" w:rsidRDefault="00000000" w:rsidRPr="00000000" w14:paraId="000000FB">
      <w:pPr>
        <w:numPr>
          <w:ilvl w:val="0"/>
          <w:numId w:val="1"/>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Cal.com booking flow. Booking a slot produces a real calendar event that both the prospect and a designated SDR address can see.</w:t>
      </w:r>
    </w:p>
    <w:p w:rsidR="00000000" w:rsidDel="00000000" w:rsidP="00000000" w:rsidRDefault="00000000" w:rsidRPr="00000000" w14:paraId="000000FC">
      <w:pPr>
        <w:pStyle w:val="Heading3"/>
        <w:keepNext w:val="0"/>
        <w:keepLines w:val="0"/>
        <w:spacing w:before="240" w:line="240" w:lineRule="auto"/>
        <w:rPr>
          <w:rFonts w:ascii="Montserrat" w:cs="Montserrat" w:eastAsia="Montserrat" w:hAnsi="Montserrat"/>
          <w:b w:val="1"/>
          <w:bCs w:val="1"/>
          <w:color w:val="3f3f3f"/>
          <w:sz w:val="20"/>
          <w:szCs w:val="20"/>
        </w:rPr>
      </w:pPr>
      <w:r w:rsidDel="00000000" w:rsidR="00000000" w:rsidRPr="00000000">
        <w:rPr>
          <w:rFonts w:ascii="Montserrat" w:cs="Montserrat" w:eastAsia="Montserrat" w:hAnsi="Montserrat"/>
          <w:b w:val="1"/>
          <w:bCs w:val="1"/>
          <w:color w:val="3f3f3f"/>
          <w:sz w:val="20"/>
          <w:szCs w:val="20"/>
          <w:rtl w:val="0"/>
        </w:rPr>
        <w:t xml:space="preserve">Enrichment pipeline</w:t>
      </w:r>
    </w:p>
    <w:p w:rsidR="00000000" w:rsidDel="00000000" w:rsidP="00000000" w:rsidRDefault="00000000" w:rsidRPr="00000000" w14:paraId="000000FD">
      <w:pPr>
        <w:spacing w:after="80" w:before="80" w:line="30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Runs before the agent replies. Three briefs merge into the agent's context:</w:t>
      </w:r>
    </w:p>
    <w:p w:rsidR="00000000" w:rsidDel="00000000" w:rsidP="00000000" w:rsidRDefault="00000000" w:rsidRPr="00000000" w14:paraId="000000FE">
      <w:pPr>
        <w:numPr>
          <w:ilvl w:val="0"/>
          <w:numId w:val="2"/>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Match the inbound phone number or email to a Crunchbase ODM record. Produce enrichment_brief.json with firmographics.</w:t>
      </w:r>
    </w:p>
    <w:p w:rsidR="00000000" w:rsidDel="00000000" w:rsidP="00000000" w:rsidRDefault="00000000" w:rsidRPr="00000000" w14:paraId="000000FF">
      <w:pPr>
        <w:numPr>
          <w:ilvl w:val="0"/>
          <w:numId w:val="2"/>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If financial services, query the CFPB API for complaints against the company in the last 180 days. Extract top three issues. Produce compliance_brief.json.</w:t>
      </w:r>
    </w:p>
    <w:p w:rsidR="00000000" w:rsidDel="00000000" w:rsidP="00000000" w:rsidRDefault="00000000" w:rsidRPr="00000000" w14:paraId="00000100">
      <w:pPr>
        <w:numPr>
          <w:ilvl w:val="0"/>
          <w:numId w:val="2"/>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Use Playwright to retrieve the company's most recent public filing or news mention. Produce news_brief.json.</w:t>
      </w:r>
    </w:p>
    <w:p w:rsidR="00000000" w:rsidDel="00000000" w:rsidP="00000000" w:rsidRDefault="00000000" w:rsidRPr="00000000" w14:paraId="00000101">
      <w:pPr>
        <w:pStyle w:val="Heading3"/>
        <w:keepNext w:val="0"/>
        <w:keepLines w:val="0"/>
        <w:spacing w:before="240" w:line="240" w:lineRule="auto"/>
        <w:rPr>
          <w:rFonts w:ascii="Montserrat" w:cs="Montserrat" w:eastAsia="Montserrat" w:hAnsi="Montserrat"/>
          <w:b w:val="1"/>
          <w:bCs w:val="1"/>
          <w:color w:val="3f3f3f"/>
          <w:sz w:val="20"/>
          <w:szCs w:val="20"/>
        </w:rPr>
      </w:pPr>
      <w:r w:rsidDel="00000000" w:rsidR="00000000" w:rsidRPr="00000000">
        <w:rPr>
          <w:rFonts w:ascii="Montserrat" w:cs="Montserrat" w:eastAsia="Montserrat" w:hAnsi="Montserrat"/>
          <w:b w:val="1"/>
          <w:bCs w:val="1"/>
          <w:color w:val="3f3f3f"/>
          <w:sz w:val="20"/>
          <w:szCs w:val="20"/>
          <w:rtl w:val="0"/>
        </w:rPr>
        <w:t xml:space="preserve">Deliverable</w:t>
      </w:r>
    </w:p>
    <w:p w:rsidR="00000000" w:rsidDel="00000000" w:rsidP="00000000" w:rsidRDefault="00000000" w:rsidRPr="00000000" w14:paraId="00000102">
      <w:pPr>
        <w:numPr>
          <w:ilvl w:val="0"/>
          <w:numId w:val="1"/>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Transcript of one complete SMS conversation end-to-end, including a STOP test and a correct regulatory-aware reply.</w:t>
      </w:r>
    </w:p>
    <w:p w:rsidR="00000000" w:rsidDel="00000000" w:rsidP="00000000" w:rsidRDefault="00000000" w:rsidRPr="00000000" w14:paraId="00000103">
      <w:pPr>
        <w:numPr>
          <w:ilvl w:val="0"/>
          <w:numId w:val="1"/>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Screenshot of the HubSpot contact record populated by the agent, with all fields non-null and enrichment timestamp within the last 10 minutes.</w:t>
      </w:r>
    </w:p>
    <w:p w:rsidR="00000000" w:rsidDel="00000000" w:rsidP="00000000" w:rsidRDefault="00000000" w:rsidRPr="00000000" w14:paraId="00000104">
      <w:pPr>
        <w:numPr>
          <w:ilvl w:val="0"/>
          <w:numId w:val="1"/>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Screenshot of the Cal.com entry created by the booking flow, both attendees listed.</w:t>
      </w:r>
    </w:p>
    <w:p w:rsidR="00000000" w:rsidDel="00000000" w:rsidP="00000000" w:rsidRDefault="00000000" w:rsidRPr="00000000" w14:paraId="00000105">
      <w:pPr>
        <w:numPr>
          <w:ilvl w:val="0"/>
          <w:numId w:val="1"/>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Running p50/p95 latency number computed across at least 20 real SMS interactions, pulled from your trace log.</w:t>
      </w:r>
    </w:p>
    <w:p w:rsidR="00000000" w:rsidDel="00000000" w:rsidP="00000000" w:rsidRDefault="00000000" w:rsidRPr="00000000" w14:paraId="00000106">
      <w:pPr>
        <w:numPr>
          <w:ilvl w:val="0"/>
          <w:numId w:val="1"/>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(Bonus) One real voice call end-to-end through the Shared Voice Rig with the agent correctly qualifying and booking.</w:t>
      </w:r>
    </w:p>
    <w:p w:rsidR="00000000" w:rsidDel="00000000" w:rsidP="00000000" w:rsidRDefault="00000000" w:rsidRPr="00000000" w14:paraId="00000107">
      <w:pPr>
        <w:pStyle w:val="Heading2"/>
        <w:keepNext w:val="0"/>
        <w:keepLines w:val="0"/>
        <w:spacing w:before="320" w:line="240" w:lineRule="auto"/>
        <w:rPr>
          <w:rFonts w:ascii="Montserrat" w:cs="Montserrat" w:eastAsia="Montserrat" w:hAnsi="Montserrat"/>
          <w:b w:val="1"/>
          <w:bCs w:val="1"/>
          <w:color w:val="1a1a1a"/>
          <w:sz w:val="24"/>
          <w:szCs w:val="24"/>
        </w:rPr>
      </w:pPr>
      <w:r w:rsidDel="00000000" w:rsidR="00000000" w:rsidRPr="00000000">
        <w:rPr>
          <w:rFonts w:ascii="Montserrat" w:cs="Montserrat" w:eastAsia="Montserrat" w:hAnsi="Montserrat"/>
          <w:b w:val="1"/>
          <w:bCs w:val="1"/>
          <w:color w:val="1a1a1a"/>
          <w:sz w:val="24"/>
          <w:szCs w:val="24"/>
          <w:rtl w:val="0"/>
        </w:rPr>
        <w:t xml:space="preserve">Act III — Adversarial Probing and Failure Taxonomy</w:t>
      </w:r>
    </w:p>
    <w:p w:rsidR="00000000" w:rsidDel="00000000" w:rsidP="00000000" w:rsidRDefault="00000000" w:rsidRPr="00000000" w14:paraId="00000108">
      <w:pPr>
        <w:spacing w:after="80" w:before="80" w:line="30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Goal: Design and run 30 or more adversarial probes. Classify failures by business cost, not just frequency. Identify the single highest-ROI failure mode to attack in Act IV.</w:t>
      </w:r>
    </w:p>
    <w:p w:rsidR="00000000" w:rsidDel="00000000" w:rsidP="00000000" w:rsidRDefault="00000000" w:rsidRPr="00000000" w14:paraId="00000109">
      <w:pPr>
        <w:pStyle w:val="Heading3"/>
        <w:keepNext w:val="0"/>
        <w:keepLines w:val="0"/>
        <w:spacing w:before="240" w:line="240" w:lineRule="auto"/>
        <w:rPr>
          <w:rFonts w:ascii="Montserrat" w:cs="Montserrat" w:eastAsia="Montserrat" w:hAnsi="Montserrat"/>
          <w:b w:val="1"/>
          <w:bCs w:val="1"/>
          <w:color w:val="3f3f3f"/>
          <w:sz w:val="20"/>
          <w:szCs w:val="20"/>
        </w:rPr>
      </w:pPr>
      <w:r w:rsidDel="00000000" w:rsidR="00000000" w:rsidRPr="00000000">
        <w:rPr>
          <w:rFonts w:ascii="Montserrat" w:cs="Montserrat" w:eastAsia="Montserrat" w:hAnsi="Montserrat"/>
          <w:b w:val="1"/>
          <w:bCs w:val="1"/>
          <w:color w:val="3f3f3f"/>
          <w:sz w:val="20"/>
          <w:szCs w:val="20"/>
          <w:rtl w:val="0"/>
        </w:rPr>
        <w:t xml:space="preserve">Probe categories you must cover</w:t>
      </w:r>
    </w:p>
    <w:p w:rsidR="00000000" w:rsidDel="00000000" w:rsidP="00000000" w:rsidRDefault="00000000" w:rsidRPr="00000000" w14:paraId="0000010A">
      <w:pPr>
        <w:numPr>
          <w:ilvl w:val="0"/>
          <w:numId w:val="1"/>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SMS session state consistency — does a multi-day conversation pick up correctly, or does the agent forget what it said two days ago?</w:t>
      </w:r>
    </w:p>
    <w:p w:rsidR="00000000" w:rsidDel="00000000" w:rsidP="00000000" w:rsidRDefault="00000000" w:rsidRPr="00000000" w14:paraId="0000010B">
      <w:pPr>
        <w:numPr>
          <w:ilvl w:val="0"/>
          <w:numId w:val="1"/>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Regulatory edge cases — does the agent refuse to make compliance claims it cannot verify from the CFPB data?</w:t>
      </w:r>
    </w:p>
    <w:p w:rsidR="00000000" w:rsidDel="00000000" w:rsidP="00000000" w:rsidRDefault="00000000" w:rsidRPr="00000000" w14:paraId="0000010C">
      <w:pPr>
        <w:numPr>
          <w:ilvl w:val="0"/>
          <w:numId w:val="1"/>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TCPA and SMS consent — does STOP actually stop? Does silence after three attempts correctly deactivate outreach?</w:t>
      </w:r>
    </w:p>
    <w:p w:rsidR="00000000" w:rsidDel="00000000" w:rsidP="00000000" w:rsidRDefault="00000000" w:rsidRPr="00000000" w14:paraId="0000010D">
      <w:pPr>
        <w:numPr>
          <w:ilvl w:val="0"/>
          <w:numId w:val="1"/>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Enrichment failure — when the Crunchbase match returns nothing, does the agent fail gracefully or hallucinate a firmographic?</w:t>
      </w:r>
    </w:p>
    <w:p w:rsidR="00000000" w:rsidDel="00000000" w:rsidP="00000000" w:rsidRDefault="00000000" w:rsidRPr="00000000" w14:paraId="0000010E">
      <w:pPr>
        <w:numPr>
          <w:ilvl w:val="0"/>
          <w:numId w:val="1"/>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Adversarial user — the τ²-Bench simulator user will provide false information, argue, change intent mid-conversation, and test policy adherence.</w:t>
      </w:r>
    </w:p>
    <w:p w:rsidR="00000000" w:rsidDel="00000000" w:rsidP="00000000" w:rsidRDefault="00000000" w:rsidRPr="00000000" w14:paraId="0000010F">
      <w:pPr>
        <w:numPr>
          <w:ilvl w:val="0"/>
          <w:numId w:val="1"/>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Cost pathology — does the agent's tool-call loop ever exceed $0.50 per interaction? Find the prompts that cause runaway token usage.</w:t>
      </w:r>
    </w:p>
    <w:p w:rsidR="00000000" w:rsidDel="00000000" w:rsidP="00000000" w:rsidRDefault="00000000" w:rsidRPr="00000000" w14:paraId="00000110">
      <w:pPr>
        <w:numPr>
          <w:ilvl w:val="0"/>
          <w:numId w:val="1"/>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Dual-control coordination — does the agent correctly wait for the user's action versus proceed? This is τ²-Bench's central failure mode.</w:t>
      </w:r>
    </w:p>
    <w:p w:rsidR="00000000" w:rsidDel="00000000" w:rsidP="00000000" w:rsidRDefault="00000000" w:rsidRPr="00000000" w14:paraId="00000111">
      <w:pPr>
        <w:numPr>
          <w:ilvl w:val="0"/>
          <w:numId w:val="1"/>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(Bonus, voice trainees only) Voice interruption handling and cross-channel state consistency between SMS and voice.</w:t>
      </w:r>
    </w:p>
    <w:p w:rsidR="00000000" w:rsidDel="00000000" w:rsidP="00000000" w:rsidRDefault="00000000" w:rsidRPr="00000000" w14:paraId="00000112">
      <w:pPr>
        <w:pStyle w:val="Heading3"/>
        <w:keepNext w:val="0"/>
        <w:keepLines w:val="0"/>
        <w:spacing w:before="240" w:line="240" w:lineRule="auto"/>
        <w:rPr>
          <w:rFonts w:ascii="Montserrat" w:cs="Montserrat" w:eastAsia="Montserrat" w:hAnsi="Montserrat"/>
          <w:b w:val="1"/>
          <w:bCs w:val="1"/>
          <w:color w:val="3f3f3f"/>
          <w:sz w:val="20"/>
          <w:szCs w:val="20"/>
        </w:rPr>
      </w:pPr>
      <w:r w:rsidDel="00000000" w:rsidR="00000000" w:rsidRPr="00000000">
        <w:rPr>
          <w:rFonts w:ascii="Montserrat" w:cs="Montserrat" w:eastAsia="Montserrat" w:hAnsi="Montserrat"/>
          <w:b w:val="1"/>
          <w:bCs w:val="1"/>
          <w:color w:val="3f3f3f"/>
          <w:sz w:val="20"/>
          <w:szCs w:val="20"/>
          <w:rtl w:val="0"/>
        </w:rPr>
        <w:t xml:space="preserve">Probe library schema</w:t>
      </w:r>
    </w:p>
    <w:p w:rsidR="00000000" w:rsidDel="00000000" w:rsidP="00000000" w:rsidRDefault="00000000" w:rsidRPr="00000000" w14:paraId="00000113">
      <w:pPr>
        <w:spacing w:after="80" w:before="80" w:line="30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Every probe is a structured record. Fields must co-agree with trace_log.jsonl.</w:t>
      </w:r>
    </w:p>
    <w:p w:rsidR="00000000" w:rsidDel="00000000" w:rsidP="00000000" w:rsidRDefault="00000000" w:rsidRPr="00000000" w14:paraId="00000114">
      <w:pPr>
        <w:spacing w:before="60" w:line="240" w:lineRule="auto"/>
        <w:rPr>
          <w:rFonts w:ascii="Montserrat" w:cs="Montserrat" w:eastAsia="Montserrat" w:hAnsi="Montserrat"/>
          <w:color w:val="2b2b2b"/>
          <w:sz w:val="20"/>
          <w:szCs w:val="20"/>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4500"/>
        <w:gridCol w:w="3060"/>
        <w:tblGridChange w:id="0">
          <w:tblGrid>
            <w:gridCol w:w="1800"/>
            <w:gridCol w:w="4500"/>
            <w:gridCol w:w="3060"/>
          </w:tblGrid>
        </w:tblGridChange>
      </w:tblGrid>
      <w:tr>
        <w:trPr>
          <w:cantSplit w:val="0"/>
          <w:tblHeader w:val="1"/>
        </w:trPr>
        <w:tc>
          <w:tcPr>
            <w:tcBorders>
              <w:top w:color="d4d4d4" w:space="0" w:sz="4" w:val="single"/>
              <w:left w:color="d4d4d4" w:space="0" w:sz="4" w:val="single"/>
              <w:bottom w:color="d4d4d4" w:space="0" w:sz="4" w:val="single"/>
              <w:right w:color="d4d4d4" w:space="0" w:sz="4" w:val="single"/>
            </w:tcBorders>
            <w:shd w:fill="1a1a1a" w:val="clear"/>
            <w:tcMar>
              <w:top w:w="100.0" w:type="dxa"/>
              <w:left w:w="140.0" w:type="dxa"/>
              <w:bottom w:w="100.0" w:type="dxa"/>
              <w:right w:w="140.0" w:type="dxa"/>
            </w:tcMar>
          </w:tcPr>
          <w:p w:rsidR="00000000" w:rsidDel="00000000" w:rsidP="00000000" w:rsidRDefault="00000000" w:rsidRPr="00000000" w14:paraId="00000115">
            <w:pPr>
              <w:spacing w:line="24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ffffff"/>
                <w:sz w:val="18"/>
                <w:szCs w:val="18"/>
                <w:rtl w:val="0"/>
              </w:rPr>
              <w:t xml:space="preserve">Field</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1a1a1a" w:val="clear"/>
            <w:tcMar>
              <w:top w:w="100.0" w:type="dxa"/>
              <w:left w:w="140.0" w:type="dxa"/>
              <w:bottom w:w="100.0" w:type="dxa"/>
              <w:right w:w="140.0" w:type="dxa"/>
            </w:tcMar>
          </w:tcPr>
          <w:p w:rsidR="00000000" w:rsidDel="00000000" w:rsidP="00000000" w:rsidRDefault="00000000" w:rsidRPr="00000000" w14:paraId="00000116">
            <w:pPr>
              <w:spacing w:line="24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ffffff"/>
                <w:sz w:val="18"/>
                <w:szCs w:val="18"/>
                <w:rtl w:val="0"/>
              </w:rPr>
              <w:t xml:space="preserve">Description</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1a1a1a" w:val="clear"/>
            <w:tcMar>
              <w:top w:w="100.0" w:type="dxa"/>
              <w:left w:w="140.0" w:type="dxa"/>
              <w:bottom w:w="100.0" w:type="dxa"/>
              <w:right w:w="140.0" w:type="dxa"/>
            </w:tcMar>
          </w:tcPr>
          <w:p w:rsidR="00000000" w:rsidDel="00000000" w:rsidP="00000000" w:rsidRDefault="00000000" w:rsidRPr="00000000" w14:paraId="00000117">
            <w:pPr>
              <w:spacing w:line="24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ffffff"/>
                <w:sz w:val="18"/>
                <w:szCs w:val="18"/>
                <w:rtl w:val="0"/>
              </w:rPr>
              <w:t xml:space="preserve">Example</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118">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probe_id</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119">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Unique identifier P-001 through P-030+</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11A">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P-017</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11B">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category</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11C">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One of the categories above</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11D">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regulatory_edge_case</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11E">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hypothesis</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11F">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What this probe is expected to trigger</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120">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Agent will over-claim on CFPB data when asked leading questions</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121">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input</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122">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The exact test input or script</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123">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“Your CFPB filings look concerning. How bad is it exactly?”</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124">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trigger_rate</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125">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Measured failure rate across 10 trials</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126">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0.70</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127">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business_cost</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128">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Dollar impact per occurrence, with derivation</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129">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$847 (lost deal probability × deal value)</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12A">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trace_refs</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12B">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List of trace_ids where this was observed</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12C">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[tr_5e2a9, tr_5e2b3, tr_5e2c1]</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12D">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ranking</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12E">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High / Medium / Low by frequency × business cost</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12F">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High</w:t>
            </w:r>
            <w:r w:rsidDel="00000000" w:rsidR="00000000" w:rsidRPr="00000000">
              <w:rPr>
                <w:rtl w:val="0"/>
              </w:rPr>
            </w:r>
          </w:p>
        </w:tc>
      </w:tr>
    </w:tbl>
    <w:p w:rsidR="00000000" w:rsidDel="00000000" w:rsidP="00000000" w:rsidRDefault="00000000" w:rsidRPr="00000000" w14:paraId="00000130">
      <w:pPr>
        <w:pStyle w:val="Heading3"/>
        <w:keepNext w:val="0"/>
        <w:keepLines w:val="0"/>
        <w:spacing w:before="240" w:line="240" w:lineRule="auto"/>
        <w:rPr>
          <w:rFonts w:ascii="Montserrat" w:cs="Montserrat" w:eastAsia="Montserrat" w:hAnsi="Montserrat"/>
          <w:b w:val="1"/>
          <w:bCs w:val="1"/>
          <w:color w:val="3f3f3f"/>
          <w:sz w:val="20"/>
          <w:szCs w:val="20"/>
        </w:rPr>
      </w:pPr>
      <w:r w:rsidDel="00000000" w:rsidR="00000000" w:rsidRPr="00000000">
        <w:rPr>
          <w:rFonts w:ascii="Montserrat" w:cs="Montserrat" w:eastAsia="Montserrat" w:hAnsi="Montserrat"/>
          <w:b w:val="1"/>
          <w:bCs w:val="1"/>
          <w:color w:val="3f3f3f"/>
          <w:sz w:val="20"/>
          <w:szCs w:val="20"/>
          <w:rtl w:val="0"/>
        </w:rPr>
        <w:t xml:space="preserve">Deliverable</w:t>
      </w:r>
    </w:p>
    <w:p w:rsidR="00000000" w:rsidDel="00000000" w:rsidP="00000000" w:rsidRDefault="00000000" w:rsidRPr="00000000" w14:paraId="00000131">
      <w:pPr>
        <w:numPr>
          <w:ilvl w:val="0"/>
          <w:numId w:val="1"/>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probe_library.md with 30+ structured entries.</w:t>
      </w:r>
    </w:p>
    <w:p w:rsidR="00000000" w:rsidDel="00000000" w:rsidP="00000000" w:rsidRDefault="00000000" w:rsidRPr="00000000" w14:paraId="00000132">
      <w:pPr>
        <w:numPr>
          <w:ilvl w:val="0"/>
          <w:numId w:val="1"/>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failure_taxonomy.md grouping probes into categories with observed trigger rates.</w:t>
      </w:r>
    </w:p>
    <w:p w:rsidR="00000000" w:rsidDel="00000000" w:rsidP="00000000" w:rsidRDefault="00000000" w:rsidRPr="00000000" w14:paraId="00000133">
      <w:pPr>
        <w:numPr>
          <w:ilvl w:val="0"/>
          <w:numId w:val="1"/>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target_failure_mode.md naming the single highest-ROI failure mode you will attack in Act IV, with explicit business-cost derivation.</w:t>
      </w:r>
    </w:p>
    <w:p w:rsidR="00000000" w:rsidDel="00000000" w:rsidP="00000000" w:rsidRDefault="00000000" w:rsidRPr="00000000" w14:paraId="00000134">
      <w:pPr>
        <w:pStyle w:val="Heading2"/>
        <w:keepNext w:val="0"/>
        <w:keepLines w:val="0"/>
        <w:spacing w:before="320" w:line="240" w:lineRule="auto"/>
        <w:rPr>
          <w:rFonts w:ascii="Montserrat" w:cs="Montserrat" w:eastAsia="Montserrat" w:hAnsi="Montserrat"/>
          <w:b w:val="1"/>
          <w:bCs w:val="1"/>
          <w:color w:val="1a1a1a"/>
          <w:sz w:val="24"/>
          <w:szCs w:val="24"/>
        </w:rPr>
      </w:pPr>
      <w:r w:rsidDel="00000000" w:rsidR="00000000" w:rsidRPr="00000000">
        <w:rPr>
          <w:rFonts w:ascii="Montserrat" w:cs="Montserrat" w:eastAsia="Montserrat" w:hAnsi="Montserrat"/>
          <w:b w:val="1"/>
          <w:bCs w:val="1"/>
          <w:color w:val="1a1a1a"/>
          <w:sz w:val="24"/>
          <w:szCs w:val="24"/>
          <w:rtl w:val="0"/>
        </w:rPr>
        <w:t xml:space="preserve">Act IV — Mechanism Design and Improvement</w:t>
      </w:r>
    </w:p>
    <w:p w:rsidR="00000000" w:rsidDel="00000000" w:rsidP="00000000" w:rsidRDefault="00000000" w:rsidRPr="00000000" w14:paraId="00000135">
      <w:pPr>
        <w:spacing w:after="80" w:before="80" w:line="30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Goal: Design and implement an original mechanism that addresses your target failure mode. Beat your Day-1 baseline on the sealed held-out slice with 95% CI separation. Honestly report how your method compares to automated optimization (GEPA or AutoAgent) on the same compute budget.</w:t>
      </w:r>
    </w:p>
    <w:p w:rsidR="00000000" w:rsidDel="00000000" w:rsidP="00000000" w:rsidRDefault="00000000" w:rsidRPr="00000000" w14:paraId="00000136">
      <w:pPr>
        <w:pStyle w:val="Heading3"/>
        <w:keepNext w:val="0"/>
        <w:keepLines w:val="0"/>
        <w:spacing w:before="240" w:line="240" w:lineRule="auto"/>
        <w:rPr>
          <w:rFonts w:ascii="Montserrat" w:cs="Montserrat" w:eastAsia="Montserrat" w:hAnsi="Montserrat"/>
          <w:b w:val="1"/>
          <w:bCs w:val="1"/>
          <w:color w:val="3f3f3f"/>
          <w:sz w:val="20"/>
          <w:szCs w:val="20"/>
        </w:rPr>
      </w:pPr>
      <w:r w:rsidDel="00000000" w:rsidR="00000000" w:rsidRPr="00000000">
        <w:rPr>
          <w:rFonts w:ascii="Montserrat" w:cs="Montserrat" w:eastAsia="Montserrat" w:hAnsi="Montserrat"/>
          <w:b w:val="1"/>
          <w:bCs w:val="1"/>
          <w:color w:val="3f3f3f"/>
          <w:sz w:val="20"/>
          <w:szCs w:val="20"/>
          <w:rtl w:val="0"/>
        </w:rPr>
        <w:t xml:space="preserve">The three deltas</w:t>
      </w:r>
    </w:p>
    <w:p w:rsidR="00000000" w:rsidDel="00000000" w:rsidP="00000000" w:rsidRDefault="00000000" w:rsidRPr="00000000" w14:paraId="00000137">
      <w:pPr>
        <w:spacing w:after="80" w:before="80" w:line="30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Your method is graded against your own baseline and against what automated optimization could achieve with the same budget:</w:t>
      </w:r>
    </w:p>
    <w:p w:rsidR="00000000" w:rsidDel="00000000" w:rsidP="00000000" w:rsidRDefault="00000000" w:rsidRPr="00000000" w14:paraId="00000138">
      <w:pPr>
        <w:numPr>
          <w:ilvl w:val="0"/>
          <w:numId w:val="1"/>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2b2b2b"/>
          <w:sz w:val="20"/>
          <w:szCs w:val="20"/>
          <w:rtl w:val="0"/>
        </w:rPr>
        <w:t xml:space="preserve">Delta A. </w:t>
      </w:r>
      <w:r w:rsidDel="00000000" w:rsidR="00000000" w:rsidRPr="00000000">
        <w:rPr>
          <w:rFonts w:ascii="Montserrat" w:cs="Montserrat" w:eastAsia="Montserrat" w:hAnsi="Montserrat"/>
          <w:color w:val="2b2b2b"/>
          <w:sz w:val="20"/>
          <w:szCs w:val="20"/>
          <w:rtl w:val="0"/>
        </w:rPr>
        <w:t xml:space="preserve">your_method pass@1 minus your_day1 baseline pass@1 (must be positive with 95% CI separation).</w:t>
      </w:r>
    </w:p>
    <w:p w:rsidR="00000000" w:rsidDel="00000000" w:rsidP="00000000" w:rsidRDefault="00000000" w:rsidRPr="00000000" w14:paraId="00000139">
      <w:pPr>
        <w:numPr>
          <w:ilvl w:val="0"/>
          <w:numId w:val="1"/>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2b2b2b"/>
          <w:sz w:val="20"/>
          <w:szCs w:val="20"/>
          <w:rtl w:val="0"/>
        </w:rPr>
        <w:t xml:space="preserve">Delta B. </w:t>
      </w:r>
      <w:r w:rsidDel="00000000" w:rsidR="00000000" w:rsidRPr="00000000">
        <w:rPr>
          <w:rFonts w:ascii="Montserrat" w:cs="Montserrat" w:eastAsia="Montserrat" w:hAnsi="Montserrat"/>
          <w:color w:val="2b2b2b"/>
          <w:sz w:val="20"/>
          <w:szCs w:val="20"/>
          <w:rtl w:val="0"/>
        </w:rPr>
        <w:t xml:space="preserve">your_method pass@1 minus automated-optimization baseline pass@1, run on the same budget. If your mechanism underperforms, your memo must explain why honestly. Failing Delta B does not fail the week; unexplained underperformance does.</w:t>
      </w:r>
    </w:p>
    <w:p w:rsidR="00000000" w:rsidDel="00000000" w:rsidP="00000000" w:rsidRDefault="00000000" w:rsidRPr="00000000" w14:paraId="0000013A">
      <w:pPr>
        <w:numPr>
          <w:ilvl w:val="0"/>
          <w:numId w:val="1"/>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2b2b2b"/>
          <w:sz w:val="20"/>
          <w:szCs w:val="20"/>
          <w:rtl w:val="0"/>
        </w:rPr>
        <w:t xml:space="preserve">Delta C. </w:t>
      </w:r>
      <w:r w:rsidDel="00000000" w:rsidR="00000000" w:rsidRPr="00000000">
        <w:rPr>
          <w:rFonts w:ascii="Montserrat" w:cs="Montserrat" w:eastAsia="Montserrat" w:hAnsi="Montserrat"/>
          <w:color w:val="2b2b2b"/>
          <w:sz w:val="20"/>
          <w:szCs w:val="20"/>
          <w:rtl w:val="0"/>
        </w:rPr>
        <w:t xml:space="preserve">your_method pass@1 minus published reference. Informational only — a positive Delta C is a distinguished marker, not a gate.</w:t>
      </w:r>
    </w:p>
    <w:p w:rsidR="00000000" w:rsidDel="00000000" w:rsidP="00000000" w:rsidRDefault="00000000" w:rsidRPr="00000000" w14:paraId="0000013B">
      <w:pPr>
        <w:pStyle w:val="Heading3"/>
        <w:keepNext w:val="0"/>
        <w:keepLines w:val="0"/>
        <w:spacing w:before="240" w:line="240" w:lineRule="auto"/>
        <w:rPr>
          <w:rFonts w:ascii="Montserrat" w:cs="Montserrat" w:eastAsia="Montserrat" w:hAnsi="Montserrat"/>
          <w:b w:val="1"/>
          <w:bCs w:val="1"/>
          <w:color w:val="3f3f3f"/>
          <w:sz w:val="20"/>
          <w:szCs w:val="20"/>
        </w:rPr>
      </w:pPr>
      <w:r w:rsidDel="00000000" w:rsidR="00000000" w:rsidRPr="00000000">
        <w:rPr>
          <w:rFonts w:ascii="Montserrat" w:cs="Montserrat" w:eastAsia="Montserrat" w:hAnsi="Montserrat"/>
          <w:b w:val="1"/>
          <w:bCs w:val="1"/>
          <w:color w:val="3f3f3f"/>
          <w:sz w:val="20"/>
          <w:szCs w:val="20"/>
          <w:rtl w:val="0"/>
        </w:rPr>
        <w:t xml:space="preserve">Mechanism directions worth considering</w:t>
      </w:r>
    </w:p>
    <w:p w:rsidR="00000000" w:rsidDel="00000000" w:rsidP="00000000" w:rsidRDefault="00000000" w:rsidRPr="00000000" w14:paraId="0000013C">
      <w:pPr>
        <w:numPr>
          <w:ilvl w:val="0"/>
          <w:numId w:val="1"/>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Trust-score-driven selective abstention. Published work on τ²-Bench shows trust scoring plus fallback cuts failure rates. Your contribution: a better trust estimator or escalation policy.</w:t>
      </w:r>
    </w:p>
    <w:p w:rsidR="00000000" w:rsidDel="00000000" w:rsidP="00000000" w:rsidRDefault="00000000" w:rsidRPr="00000000" w14:paraId="0000013D">
      <w:pPr>
        <w:numPr>
          <w:ilvl w:val="0"/>
          <w:numId w:val="1"/>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Enrichment-aware response calibration. When Crunchbase or CFPB returns low-confidence matches, the agent's phrasing shifts automatically. Measurable against confidence-stratified probes.</w:t>
      </w:r>
    </w:p>
    <w:p w:rsidR="00000000" w:rsidDel="00000000" w:rsidP="00000000" w:rsidRDefault="00000000" w:rsidRPr="00000000" w14:paraId="0000013E">
      <w:pPr>
        <w:numPr>
          <w:ilvl w:val="0"/>
          <w:numId w:val="1"/>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Process-reward trajectory scoring. Use your Day-4 probe corpus to train a lightweight classifier that scores whether the agent is on or off track at each turn, abstaining when off-track.</w:t>
      </w:r>
    </w:p>
    <w:p w:rsidR="00000000" w:rsidDel="00000000" w:rsidP="00000000" w:rsidRDefault="00000000" w:rsidRPr="00000000" w14:paraId="0000013F">
      <w:pPr>
        <w:numPr>
          <w:ilvl w:val="0"/>
          <w:numId w:val="1"/>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Dual-control coordination policy. Explicitly predict whether the next step requires agent action or user action rather than leaving it to the LLM.</w:t>
      </w:r>
    </w:p>
    <w:p w:rsidR="00000000" w:rsidDel="00000000" w:rsidP="00000000" w:rsidRDefault="00000000" w:rsidRPr="00000000" w14:paraId="00000140">
      <w:pPr>
        <w:numPr>
          <w:ilvl w:val="0"/>
          <w:numId w:val="1"/>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SMS-specific: delayed-response policy. Vary when the agent sends its reply based on prospect signal. A 2-minute delay on a lukewarm reply may preserve engagement better than an instant reply.</w:t>
      </w:r>
    </w:p>
    <w:p w:rsidR="00000000" w:rsidDel="00000000" w:rsidP="00000000" w:rsidRDefault="00000000" w:rsidRPr="00000000" w14:paraId="00000141">
      <w:pPr>
        <w:pStyle w:val="Heading3"/>
        <w:keepNext w:val="0"/>
        <w:keepLines w:val="0"/>
        <w:spacing w:before="240" w:line="240" w:lineRule="auto"/>
        <w:rPr>
          <w:rFonts w:ascii="Montserrat" w:cs="Montserrat" w:eastAsia="Montserrat" w:hAnsi="Montserrat"/>
          <w:b w:val="1"/>
          <w:bCs w:val="1"/>
          <w:color w:val="3f3f3f"/>
          <w:sz w:val="20"/>
          <w:szCs w:val="20"/>
        </w:rPr>
      </w:pPr>
      <w:r w:rsidDel="00000000" w:rsidR="00000000" w:rsidRPr="00000000">
        <w:rPr>
          <w:rFonts w:ascii="Montserrat" w:cs="Montserrat" w:eastAsia="Montserrat" w:hAnsi="Montserrat"/>
          <w:b w:val="1"/>
          <w:bCs w:val="1"/>
          <w:color w:val="3f3f3f"/>
          <w:sz w:val="20"/>
          <w:szCs w:val="20"/>
          <w:rtl w:val="0"/>
        </w:rPr>
        <w:t xml:space="preserve">Deliverable</w:t>
      </w:r>
    </w:p>
    <w:p w:rsidR="00000000" w:rsidDel="00000000" w:rsidP="00000000" w:rsidRDefault="00000000" w:rsidRPr="00000000" w14:paraId="00000142">
      <w:pPr>
        <w:numPr>
          <w:ilvl w:val="0"/>
          <w:numId w:val="1"/>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method.md documenting the mechanism, design rationale, hyperparameters, and three ablation variants you tested.</w:t>
      </w:r>
    </w:p>
    <w:p w:rsidR="00000000" w:rsidDel="00000000" w:rsidP="00000000" w:rsidRDefault="00000000" w:rsidRPr="00000000" w14:paraId="00000143">
      <w:pPr>
        <w:numPr>
          <w:ilvl w:val="0"/>
          <w:numId w:val="1"/>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ablation_results.json with pass@1, 95% CI, cost-per-task, and p95 latency for your method, your Day-1 baseline, and the automated-optimization baseline, all on the sealed held-out slice.</w:t>
      </w:r>
    </w:p>
    <w:p w:rsidR="00000000" w:rsidDel="00000000" w:rsidP="00000000" w:rsidRDefault="00000000" w:rsidRPr="00000000" w14:paraId="00000144">
      <w:pPr>
        <w:numPr>
          <w:ilvl w:val="0"/>
          <w:numId w:val="1"/>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held_out_traces.jsonl with the raw traces from each of the three conditions.</w:t>
      </w:r>
    </w:p>
    <w:p w:rsidR="00000000" w:rsidDel="00000000" w:rsidP="00000000" w:rsidRDefault="00000000" w:rsidRPr="00000000" w14:paraId="00000145">
      <w:pPr>
        <w:numPr>
          <w:ilvl w:val="0"/>
          <w:numId w:val="1"/>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A statistical test showing Delta A is positive with p &lt; 0.05.</w:t>
      </w:r>
    </w:p>
    <w:p w:rsidR="00000000" w:rsidDel="00000000" w:rsidP="00000000" w:rsidRDefault="00000000" w:rsidRPr="00000000" w14:paraId="00000146">
      <w:pPr>
        <w:pStyle w:val="Heading2"/>
        <w:keepNext w:val="0"/>
        <w:keepLines w:val="0"/>
        <w:spacing w:before="320" w:line="240" w:lineRule="auto"/>
        <w:rPr>
          <w:rFonts w:ascii="Montserrat" w:cs="Montserrat" w:eastAsia="Montserrat" w:hAnsi="Montserrat"/>
          <w:b w:val="1"/>
          <w:bCs w:val="1"/>
          <w:color w:val="1a1a1a"/>
          <w:sz w:val="24"/>
          <w:szCs w:val="24"/>
        </w:rPr>
      </w:pPr>
      <w:r w:rsidDel="00000000" w:rsidR="00000000" w:rsidRPr="00000000">
        <w:rPr>
          <w:rFonts w:ascii="Montserrat" w:cs="Montserrat" w:eastAsia="Montserrat" w:hAnsi="Montserrat"/>
          <w:b w:val="1"/>
          <w:bCs w:val="1"/>
          <w:color w:val="1a1a1a"/>
          <w:sz w:val="24"/>
          <w:szCs w:val="24"/>
          <w:rtl w:val="0"/>
        </w:rPr>
        <w:t xml:space="preserve">Act V — The Memo</w:t>
      </w:r>
    </w:p>
    <w:p w:rsidR="00000000" w:rsidDel="00000000" w:rsidP="00000000" w:rsidRDefault="00000000" w:rsidRPr="00000000" w14:paraId="00000147">
      <w:pPr>
        <w:spacing w:after="80" w:before="80" w:line="30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Goal: Write the two-page decision memo. Every number traces to a trace file. Every claim is auditable.</w:t>
      </w:r>
    </w:p>
    <w:p w:rsidR="00000000" w:rsidDel="00000000" w:rsidP="00000000" w:rsidRDefault="00000000" w:rsidRPr="00000000" w14:paraId="00000148">
      <w:pPr>
        <w:pStyle w:val="Heading3"/>
        <w:keepNext w:val="0"/>
        <w:keepLines w:val="0"/>
        <w:spacing w:before="240" w:line="240" w:lineRule="auto"/>
        <w:rPr>
          <w:rFonts w:ascii="Montserrat" w:cs="Montserrat" w:eastAsia="Montserrat" w:hAnsi="Montserrat"/>
          <w:b w:val="1"/>
          <w:bCs w:val="1"/>
          <w:color w:val="3f3f3f"/>
          <w:sz w:val="20"/>
          <w:szCs w:val="20"/>
        </w:rPr>
      </w:pPr>
      <w:r w:rsidDel="00000000" w:rsidR="00000000" w:rsidRPr="00000000">
        <w:rPr>
          <w:rFonts w:ascii="Montserrat" w:cs="Montserrat" w:eastAsia="Montserrat" w:hAnsi="Montserrat"/>
          <w:b w:val="1"/>
          <w:bCs w:val="1"/>
          <w:color w:val="3f3f3f"/>
          <w:sz w:val="20"/>
          <w:szCs w:val="20"/>
          <w:rtl w:val="0"/>
        </w:rPr>
        <w:t xml:space="preserve">Page 1 — The Decision</w:t>
      </w:r>
    </w:p>
    <w:p w:rsidR="00000000" w:rsidDel="00000000" w:rsidP="00000000" w:rsidRDefault="00000000" w:rsidRPr="00000000" w14:paraId="00000149">
      <w:pPr>
        <w:numPr>
          <w:ilvl w:val="0"/>
          <w:numId w:val="1"/>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Executive summary (three sentences). What was built, what is the headline number, what is the recommendation.</w:t>
      </w:r>
    </w:p>
    <w:p w:rsidR="00000000" w:rsidDel="00000000" w:rsidP="00000000" w:rsidRDefault="00000000" w:rsidRPr="00000000" w14:paraId="0000014A">
      <w:pPr>
        <w:numPr>
          <w:ilvl w:val="0"/>
          <w:numId w:val="1"/>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Baseline performance. Pass@1 on τ²-Bench retail (published reference, your Day-1 baseline, your method). 95% CIs. Source: held_out_traces.jsonl.</w:t>
      </w:r>
    </w:p>
    <w:p w:rsidR="00000000" w:rsidDel="00000000" w:rsidP="00000000" w:rsidRDefault="00000000" w:rsidRPr="00000000" w14:paraId="0000014B">
      <w:pPr>
        <w:numPr>
          <w:ilvl w:val="0"/>
          <w:numId w:val="1"/>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Cost per qualified lead. Direct derivation from rig usage and trace count. Source: invoice_summary.json + trace_log.jsonl.</w:t>
      </w:r>
    </w:p>
    <w:p w:rsidR="00000000" w:rsidDel="00000000" w:rsidP="00000000" w:rsidRDefault="00000000" w:rsidRPr="00000000" w14:paraId="0000014C">
      <w:pPr>
        <w:numPr>
          <w:ilvl w:val="0"/>
          <w:numId w:val="1"/>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Speed-to-lead delta. Human baseline (42 min median) vs. agent (trace-log p50) vs. industry top quartile.</w:t>
      </w:r>
    </w:p>
    <w:p w:rsidR="00000000" w:rsidDel="00000000" w:rsidP="00000000" w:rsidRDefault="00000000" w:rsidRPr="00000000" w14:paraId="0000014D">
      <w:pPr>
        <w:numPr>
          <w:ilvl w:val="0"/>
          <w:numId w:val="1"/>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Annualized dollar impact at three adoption scenarios (conservative, expected, upside). Every scenario reproducible from trace files and published industry rates.</w:t>
      </w:r>
    </w:p>
    <w:p w:rsidR="00000000" w:rsidDel="00000000" w:rsidP="00000000" w:rsidRDefault="00000000" w:rsidRPr="00000000" w14:paraId="0000014E">
      <w:pPr>
        <w:numPr>
          <w:ilvl w:val="0"/>
          <w:numId w:val="1"/>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Pilot scope recommendation. One specific workflow, one lead volume, one dollar budget, one measurable success criterion.</w:t>
      </w:r>
    </w:p>
    <w:p w:rsidR="00000000" w:rsidDel="00000000" w:rsidP="00000000" w:rsidRDefault="00000000" w:rsidRPr="00000000" w14:paraId="0000014F">
      <w:pPr>
        <w:pStyle w:val="Heading3"/>
        <w:keepNext w:val="0"/>
        <w:keepLines w:val="0"/>
        <w:spacing w:before="240" w:line="240" w:lineRule="auto"/>
        <w:rPr>
          <w:rFonts w:ascii="Montserrat" w:cs="Montserrat" w:eastAsia="Montserrat" w:hAnsi="Montserrat"/>
          <w:b w:val="1"/>
          <w:bCs w:val="1"/>
          <w:color w:val="3f3f3f"/>
          <w:sz w:val="20"/>
          <w:szCs w:val="20"/>
        </w:rPr>
      </w:pPr>
      <w:r w:rsidDel="00000000" w:rsidR="00000000" w:rsidRPr="00000000">
        <w:rPr>
          <w:rFonts w:ascii="Montserrat" w:cs="Montserrat" w:eastAsia="Montserrat" w:hAnsi="Montserrat"/>
          <w:b w:val="1"/>
          <w:bCs w:val="1"/>
          <w:color w:val="3f3f3f"/>
          <w:sz w:val="20"/>
          <w:szCs w:val="20"/>
          <w:rtl w:val="0"/>
        </w:rPr>
        <w:t xml:space="preserve">Page 2 — The Skeptic's Appendix</w:t>
      </w:r>
    </w:p>
    <w:p w:rsidR="00000000" w:rsidDel="00000000" w:rsidP="00000000" w:rsidRDefault="00000000" w:rsidRPr="00000000" w14:paraId="00000150">
      <w:pPr>
        <w:numPr>
          <w:ilvl w:val="0"/>
          <w:numId w:val="1"/>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Four failure modes that τ²-Bench does not capture but would appear in a real Acme ComplianceOS deployment. For each: what it is, why the benchmark misses it, what would need to be added to catch it, what that would cost.</w:t>
      </w:r>
    </w:p>
    <w:p w:rsidR="00000000" w:rsidDel="00000000" w:rsidP="00000000" w:rsidRDefault="00000000" w:rsidRPr="00000000" w14:paraId="00000151">
      <w:pPr>
        <w:numPr>
          <w:ilvl w:val="0"/>
          <w:numId w:val="1"/>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The HubSpot Breeze comparison. At HubSpot's published outcome-based pricing ($0.50 per resolved conversation, $1 per qualified lead), would your agent be profitable? Show unit economics.</w:t>
      </w:r>
    </w:p>
    <w:p w:rsidR="00000000" w:rsidDel="00000000" w:rsidP="00000000" w:rsidRDefault="00000000" w:rsidRPr="00000000" w14:paraId="00000152">
      <w:pPr>
        <w:numPr>
          <w:ilvl w:val="0"/>
          <w:numId w:val="1"/>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One honest failure. A specific probe from your Day-4 library that you did not resolve, with an assessment of the business impact if deployed anyway.</w:t>
      </w:r>
    </w:p>
    <w:p w:rsidR="00000000" w:rsidDel="00000000" w:rsidP="00000000" w:rsidRDefault="00000000" w:rsidRPr="00000000" w14:paraId="00000153">
      <w:pPr>
        <w:numPr>
          <w:ilvl w:val="0"/>
          <w:numId w:val="1"/>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The kill-switch clause. Under what measurable condition should this deployment be paused or rolled back? Specify the trigger metric and threshold.</w:t>
      </w:r>
    </w:p>
    <w:p w:rsidR="00000000" w:rsidDel="00000000" w:rsidP="00000000" w:rsidRDefault="00000000" w:rsidRPr="00000000" w14:paraId="00000154">
      <w:pPr>
        <w:pStyle w:val="Heading3"/>
        <w:keepNext w:val="0"/>
        <w:keepLines w:val="0"/>
        <w:spacing w:before="240" w:line="240" w:lineRule="auto"/>
        <w:rPr>
          <w:rFonts w:ascii="Montserrat" w:cs="Montserrat" w:eastAsia="Montserrat" w:hAnsi="Montserrat"/>
          <w:b w:val="1"/>
          <w:bCs w:val="1"/>
          <w:color w:val="3f3f3f"/>
          <w:sz w:val="20"/>
          <w:szCs w:val="20"/>
        </w:rPr>
      </w:pPr>
      <w:r w:rsidDel="00000000" w:rsidR="00000000" w:rsidRPr="00000000">
        <w:rPr>
          <w:rFonts w:ascii="Montserrat" w:cs="Montserrat" w:eastAsia="Montserrat" w:hAnsi="Montserrat"/>
          <w:b w:val="1"/>
          <w:bCs w:val="1"/>
          <w:color w:val="3f3f3f"/>
          <w:sz w:val="20"/>
          <w:szCs w:val="20"/>
          <w:rtl w:val="0"/>
        </w:rPr>
        <w:t xml:space="preserve">Deliverable</w:t>
      </w:r>
    </w:p>
    <w:p w:rsidR="00000000" w:rsidDel="00000000" w:rsidP="00000000" w:rsidRDefault="00000000" w:rsidRPr="00000000" w14:paraId="00000155">
      <w:pPr>
        <w:numPr>
          <w:ilvl w:val="0"/>
          <w:numId w:val="1"/>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memo.pdf — 2 pages, no more, no less.</w:t>
      </w:r>
    </w:p>
    <w:p w:rsidR="00000000" w:rsidDel="00000000" w:rsidP="00000000" w:rsidRDefault="00000000" w:rsidRPr="00000000" w14:paraId="00000156">
      <w:pPr>
        <w:numPr>
          <w:ilvl w:val="0"/>
          <w:numId w:val="1"/>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evidence_graph.json — a machine-readable mapping of every numeric claim to its source trace_id or invoice line item.</w:t>
      </w:r>
    </w:p>
    <w:p w:rsidR="00000000" w:rsidDel="00000000" w:rsidP="00000000" w:rsidRDefault="00000000" w:rsidRPr="00000000" w14:paraId="00000157">
      <w:pPr>
        <w:numPr>
          <w:ilvl w:val="0"/>
          <w:numId w:val="1"/>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README.md for the repository, written for a future engineer who inherits this engagement.</w:t>
      </w:r>
      <w:r w:rsidDel="00000000" w:rsidR="00000000" w:rsidRPr="00000000">
        <w:br w:type="page"/>
      </w:r>
      <w:r w:rsidDel="00000000" w:rsidR="00000000" w:rsidRPr="00000000">
        <w:rPr>
          <w:rtl w:val="0"/>
        </w:rPr>
      </w:r>
    </w:p>
    <w:p w:rsidR="00000000" w:rsidDel="00000000" w:rsidP="00000000" w:rsidRDefault="00000000" w:rsidRPr="00000000" w14:paraId="00000158">
      <w:pPr>
        <w:pStyle w:val="Heading1"/>
        <w:keepNext w:val="0"/>
        <w:keepLines w:val="0"/>
        <w:spacing w:after="180" w:before="480" w:line="240" w:lineRule="auto"/>
        <w:rPr>
          <w:rFonts w:ascii="Montserrat" w:cs="Montserrat" w:eastAsia="Montserrat" w:hAnsi="Montserrat"/>
          <w:b w:val="1"/>
          <w:bCs w:val="1"/>
          <w:color w:val="1a1a1a"/>
          <w:sz w:val="32"/>
          <w:szCs w:val="32"/>
        </w:rPr>
      </w:pPr>
      <w:r w:rsidDel="00000000" w:rsidR="00000000" w:rsidRPr="00000000">
        <w:rPr>
          <w:rFonts w:ascii="Montserrat" w:cs="Montserrat" w:eastAsia="Montserrat" w:hAnsi="Montserrat"/>
          <w:b w:val="1"/>
          <w:bCs w:val="1"/>
          <w:color w:val="1a1a1a"/>
          <w:sz w:val="32"/>
          <w:szCs w:val="32"/>
          <w:rtl w:val="0"/>
        </w:rPr>
        <w:t xml:space="preserve">Evidence-Graph Grading</w:t>
      </w:r>
    </w:p>
    <w:p w:rsidR="00000000" w:rsidDel="00000000" w:rsidP="00000000" w:rsidRDefault="00000000" w:rsidRPr="00000000" w14:paraId="00000159">
      <w:pPr>
        <w:spacing w:after="80" w:before="80" w:line="30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You are graded on six observables. Each scores 0–3. Total is out of 18. A passing submission is 12 or higher with no single observable below 1. A distinguished submission is 15 or higher with at least three observables at 3.</w:t>
      </w:r>
    </w:p>
    <w:p w:rsidR="00000000" w:rsidDel="00000000" w:rsidP="00000000" w:rsidRDefault="00000000" w:rsidRPr="00000000" w14:paraId="0000015A">
      <w:pPr>
        <w:spacing w:before="80" w:line="240" w:lineRule="auto"/>
        <w:rPr>
          <w:rFonts w:ascii="Montserrat" w:cs="Montserrat" w:eastAsia="Montserrat" w:hAnsi="Montserrat"/>
          <w:color w:val="2b2b2b"/>
          <w:sz w:val="20"/>
          <w:szCs w:val="20"/>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200"/>
        <w:gridCol w:w="3760"/>
        <w:tblGridChange w:id="0">
          <w:tblGrid>
            <w:gridCol w:w="2400"/>
            <w:gridCol w:w="3200"/>
            <w:gridCol w:w="3760"/>
          </w:tblGrid>
        </w:tblGridChange>
      </w:tblGrid>
      <w:tr>
        <w:trPr>
          <w:cantSplit w:val="0"/>
          <w:tblHeader w:val="1"/>
        </w:trPr>
        <w:tc>
          <w:tcPr>
            <w:tcBorders>
              <w:top w:color="d4d4d4" w:space="0" w:sz="4" w:val="single"/>
              <w:left w:color="d4d4d4" w:space="0" w:sz="4" w:val="single"/>
              <w:bottom w:color="d4d4d4" w:space="0" w:sz="4" w:val="single"/>
              <w:right w:color="d4d4d4" w:space="0" w:sz="4" w:val="single"/>
            </w:tcBorders>
            <w:shd w:fill="1a1a1a" w:val="clear"/>
            <w:tcMar>
              <w:top w:w="100.0" w:type="dxa"/>
              <w:left w:w="140.0" w:type="dxa"/>
              <w:bottom w:w="100.0" w:type="dxa"/>
              <w:right w:w="140.0" w:type="dxa"/>
            </w:tcMar>
          </w:tcPr>
          <w:p w:rsidR="00000000" w:rsidDel="00000000" w:rsidP="00000000" w:rsidRDefault="00000000" w:rsidRPr="00000000" w14:paraId="0000015B">
            <w:pPr>
              <w:spacing w:line="24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ffffff"/>
                <w:sz w:val="18"/>
                <w:szCs w:val="18"/>
                <w:rtl w:val="0"/>
              </w:rPr>
              <w:t xml:space="preserve">Observable</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1a1a1a" w:val="clear"/>
            <w:tcMar>
              <w:top w:w="100.0" w:type="dxa"/>
              <w:left w:w="140.0" w:type="dxa"/>
              <w:bottom w:w="100.0" w:type="dxa"/>
              <w:right w:w="140.0" w:type="dxa"/>
            </w:tcMar>
          </w:tcPr>
          <w:p w:rsidR="00000000" w:rsidDel="00000000" w:rsidP="00000000" w:rsidRDefault="00000000" w:rsidRPr="00000000" w14:paraId="0000015C">
            <w:pPr>
              <w:spacing w:line="24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ffffff"/>
                <w:sz w:val="18"/>
                <w:szCs w:val="18"/>
                <w:rtl w:val="0"/>
              </w:rPr>
              <w:t xml:space="preserve">What it measures</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1a1a1a" w:val="clear"/>
            <w:tcMar>
              <w:top w:w="100.0" w:type="dxa"/>
              <w:left w:w="140.0" w:type="dxa"/>
              <w:bottom w:w="100.0" w:type="dxa"/>
              <w:right w:w="140.0" w:type="dxa"/>
            </w:tcMar>
          </w:tcPr>
          <w:p w:rsidR="00000000" w:rsidDel="00000000" w:rsidP="00000000" w:rsidRDefault="00000000" w:rsidRPr="00000000" w14:paraId="0000015D">
            <w:pPr>
              <w:spacing w:line="24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ffffff"/>
                <w:sz w:val="18"/>
                <w:szCs w:val="18"/>
                <w:rtl w:val="0"/>
              </w:rPr>
              <w:t xml:space="preserve">How it is verified</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15E">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Reproduction fidelity</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15F">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Does your Day 1 baseline match the pinned reference within tolerance?</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160">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Automated re-run of your submitted reproduction code against the benchmark under pinned model/settings.</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161">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Probe originality</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162">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Are your probes diagnostic of specific failure mechanisms, or are they generic tests?</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163">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Staff cross-references your probe_library.md against a reference taxonomy; counts novel mechanisms identified.</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164">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Mechanism attribution</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165">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Did your ablation prove your mechanism caused the lift, or did you overclaim?</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166">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Automated statistical check: recomputes Delta A from held_out_traces.jsonl and confirms 95% CI separation with p &lt; 0.05.</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167">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Cost-quality Pareto</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168">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Did you improve accuracy without blowing the budget?</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169">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Automated: pulls $ per successful interaction from rig usage + trace count; compares to baseline. Penalty if &gt; $0.50 without justification.</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16A">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Evidence-graph integrity</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16B">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Does every number in your memo resolve to a trace file or rig invoice line?</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16C">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Script walks evidence_graph.json; each claim_id maps to a source_ref; recomputes the number; flags mismatches &gt; 5%.</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16D">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Skeptic's appendix quality</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16E">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Did you honestly name what the benchmark misses?</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16F">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Rubric-scored by staff; penalty for generic risks (‘user adoption is hard’) with no deployment-specific detail.</w:t>
            </w:r>
            <w:r w:rsidDel="00000000" w:rsidR="00000000" w:rsidRPr="00000000">
              <w:rPr>
                <w:rtl w:val="0"/>
              </w:rPr>
            </w:r>
          </w:p>
        </w:tc>
      </w:tr>
    </w:tbl>
    <w:p w:rsidR="00000000" w:rsidDel="00000000" w:rsidP="00000000" w:rsidRDefault="00000000" w:rsidRPr="00000000" w14:paraId="00000170">
      <w:pPr>
        <w:rPr>
          <w:rFonts w:ascii="Montserrat" w:cs="Montserrat" w:eastAsia="Montserrat" w:hAnsi="Montserrat"/>
          <w:b w:val="1"/>
          <w:bCs w:val="1"/>
          <w:color w:val="0a0a0a"/>
          <w:sz w:val="72"/>
          <w:szCs w:val="72"/>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20" w:hanging="280"/>
      </w:pPr>
      <w:rPr>
        <w:u w:val="none"/>
      </w:rPr>
    </w:lvl>
    <w:lvl w:ilvl="1">
      <w:start w:val="1"/>
      <w:numFmt w:val="bullet"/>
      <w:lvlText w:val="◦"/>
      <w:lvlJc w:val="left"/>
      <w:pPr>
        <w:ind w:left="1040" w:hanging="28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decimal"/>
      <w:lvlText w:val="%1."/>
      <w:lvlJc w:val="left"/>
      <w:pPr>
        <w:ind w:left="520" w:hanging="28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