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40" w:lineRule="auto"/>
        <w:jc w:val="left"/>
      </w:pPr>
      <w:r>
        <w:rPr>
          <w:rFonts w:ascii="Aptos" w:hAnsi="Aptos" w:eastAsia="Noto Sans CJK SC"/>
          <w:b/>
          <w:color w:val="163A5F"/>
          <w:sz w:val="48"/>
        </w:rPr>
        <w:t>龙虾乐园</w:t>
      </w:r>
    </w:p>
    <w:p>
      <w:pPr>
        <w:spacing w:before="0" w:after="40" w:line="240" w:lineRule="auto"/>
        <w:jc w:val="left"/>
      </w:pPr>
      <w:r>
        <w:rPr>
          <w:rFonts w:ascii="Aptos" w:hAnsi="Aptos" w:eastAsia="Noto Sans CJK SC"/>
          <w:b/>
          <w:color w:val="1F3B57"/>
          <w:sz w:val="32"/>
        </w:rPr>
        <w:t>OpenClaw 统一管控平台产品需求文档（PRD）</w:t>
      </w:r>
    </w:p>
    <w:p>
      <w:pPr>
        <w:spacing w:before="0" w:after="200" w:line="288" w:lineRule="auto"/>
        <w:jc w:val="left"/>
      </w:pPr>
      <w:r>
        <w:rPr>
          <w:rFonts w:ascii="Aptos" w:hAnsi="Aptos" w:eastAsia="Noto Sans CJK SC"/>
          <w:color w:val="5B6B7A"/>
          <w:sz w:val="21"/>
        </w:rPr>
        <w:t>适用对象：产品、研发、测试、运维、安全 · 版本：V1.0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Borders>
              <w:left w:val="single" w:sz="10" w:color="BFD3E6"/>
              <w:top w:val="single" w:sz="10" w:color="BFD3E6"/>
              <w:right w:val="single" w:sz="10" w:color="BFD3E6"/>
              <w:bottom w:val="single" w:sz="10" w:color="BFD3E6"/>
            </w:tcBorders>
          </w:tcPr>
          <w:p>
            <w:pPr>
              <w:spacing w:before="0" w:after="80" w:line="276" w:lineRule="auto"/>
            </w:pPr>
            <w:r>
              <w:rPr>
                <w:rFonts w:ascii="Aptos" w:hAnsi="Aptos" w:eastAsia="Noto Sans CJK SC"/>
                <w:b/>
                <w:color w:val="163A5F"/>
                <w:sz w:val="22"/>
              </w:rPr>
              <w:t>一句话定位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为企业内部员工提供“无需命令行”的 OpenClaw 创建、配置、发布、运维与治理平台。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平台负责控制平面（Control Plane），OpenClaw 实例继续承担 AI runtime 与 channel/data plane 职责。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9"/>
              </w:rPr>
              <w:t>字段</w:t>
            </w:r>
          </w:p>
        </w:tc>
        <w:tc>
          <w:tcPr>
            <w:tcW w:type="dxa" w:w="7257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文档名称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《龙虾乐园（OpenClaw 管控平台）产品需求文档 PRD》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文档版本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V1.0（首版梳理）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适用阶段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企业内部试点版 / 预留商业化演进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产品定位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OpenClaw 统一控制台（Control Plane），负责实例创建、配置、发布、监控与运维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编写日期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9"/>
              </w:rPr>
              <w:t>2026-03-06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Borders>
              <w:left w:val="single" w:sz="10" w:color="BFD3E6"/>
              <w:top w:val="single" w:sz="10" w:color="BFD3E6"/>
              <w:right w:val="single" w:sz="10" w:color="BFD3E6"/>
              <w:bottom w:val="single" w:sz="10" w:color="BFD3E6"/>
            </w:tcBorders>
          </w:tcPr>
          <w:p>
            <w:pPr>
              <w:spacing w:before="0" w:after="80" w:line="276" w:lineRule="auto"/>
            </w:pPr>
            <w:r>
              <w:rPr>
                <w:rFonts w:ascii="Aptos" w:hAnsi="Aptos" w:eastAsia="Noto Sans CJK SC"/>
                <w:b/>
                <w:color w:val="163A5F"/>
                <w:sz w:val="22"/>
              </w:rPr>
              <w:t>首版核心决策摘要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平台不重写 OpenClaw 的 channel / agent runtime，而是作为“控制平面”统一管理 OpenClaw 实例、配置、凭证、监控和运维。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V1 默认采用“1 用户 1 OpenClaw 实例”的隔离模式，避免多用户共享单实例带来的会话串扰、凭证混用和权限边界不清问题。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平台中“宿主节点 / 工作节点”和 OpenClaw 官方语义里的“设备节点（nodes）”必须拆分定义；前者负责运行实例，后者是 OpenClaw 的 companion device。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内部版先完成可用、可控、可运维；商业化能力（计费、套餐、自助注册、外部组织管理）进入后续版本。</w:t>
            </w:r>
          </w:p>
        </w:tc>
      </w:tr>
    </w:tbl>
    <w:p/>
    <w:p>
      <w:r>
        <w:br w:type="page"/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1. 背景与需求定义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OpenClaw 官方定位是运行在用户自有设备上的 personal AI assistant，支持通过多个聊天渠道与用户交互，提供多 agent、skills、sessions、nodes 等能力。官方推荐通过 onboarding wizard 完成安装与初始配置，配置文件位于 ~/.openclaw/openclaw.json，并且浏览器 Control UI 已具备聊天、配置、日志、技能、节点、健康检查、更新等管理能力。这意味着：龙虾乐园并不需要从零实现一个 AI runtime，而可以围绕 OpenClaw 构建统一的实例管控平台，通过配置编排、CLI/WS 调用、容器/宿主调度和可视化运维来完成管理闭环。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你的原始诉求聚焦于：让企业员工即使不懂技术，也能一键创建并维护自己的 OpenClaw 应用；同时在平台侧统一管理多个 OpenClaw 实例，实现隔离、监控、升级和模板化复制。这一方向可行，但必须先明确边界：平台负责生命周期管理与企业级治理，OpenClaw 继续负责消息路由、AI agent runtime、channel 适配、skills 执行和节点能力暴露。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1.1 目标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让企业员工无需命令行即可创建、配置、启停、升级和删除个人 OpenClaw 实例。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为企业管理员提供租户、用户、权限、实例、宿主节点、监控、日志、审计的一站式管理能力。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建立标准化配置模型，将模型、channel、agent、skill、node、会话隔离、安全策略等能力抽象为可视化配置。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通过模板、预置配置和健康监控显著降低 OpenClaw 的安装/配置/维护门槛。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为未来商业化版本预留多租户、组织管理、套餐/配额、计费和自助开通能力。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1.2 非目标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V1 不重写 OpenClaw 内部 channel 协议实现，不替代 OpenClaw 自身 runtime。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V1 不直接将 OpenClaw 原生 Dashboard 暴露给最终用户作为主操作界面；平台需做受控封装。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V1 不建设外部商业计费、支付、合同、发票等能力。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V1 不做跨租户的技能市场与公共插件生态，先支持内部模板与受控技能包。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术语</w:t>
            </w:r>
          </w:p>
        </w:tc>
        <w:tc>
          <w:tcPr>
            <w:tcW w:type="dxa" w:w="6973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定义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 Tenant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企业或组织级隔离单元，包含用户、角色、实例、模板、策略、审计数据。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用户 User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租户下的登录主体，可能扮演平台管理员、租户管理员、实例管理员、普通员工等角色。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OpenClaw 实例 Instance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由平台创建并托管的单个 OpenClaw 运行单元，包含配置、状态、版本、凭证和工作空间。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宿主节点 Worker Node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平台侧用于运行 OpenClaw 实例的服务器/容器节点/VM/K8s Node。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设备节点 Device Node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OpenClaw 官方语义中的 companion node，如 iOS/Android/macOS/headless device。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配置草稿 Draft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用户在平台中编辑但尚未发布到实例的配置版本。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配置发布 Release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一次成功应用到实例上的配置快照，支持回滚。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模板 Template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可复用的实例初始化方案，包含模型、agent、skill、安全策略等默认配置。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2. 可行性判断与产品边界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基于 OpenClaw 官方能力现状，本项目可行性高，且更适合从“平台化封装与治理”切入，而不是直接重写 OpenClaw 的运行时。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判断项</w:t>
            </w:r>
          </w:p>
        </w:tc>
        <w:tc>
          <w:tcPr>
            <w:tcW w:type="dxa" w:w="6690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可行性判断</w:t>
            </w:r>
          </w:p>
        </w:tc>
        <w:tc>
          <w:tcPr>
            <w:tcW w:type="dxa" w:w="669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依据</w:t>
            </w:r>
          </w:p>
        </w:tc>
        <w:tc>
          <w:tcPr>
            <w:tcW w:type="dxa" w:w="669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官方已提供安装向导、配置文件、Control UI、health/status、channels、skills、nodes、multi-agent routing、更新能力，可作为平台化封装基础。</w:t>
            </w:r>
          </w:p>
        </w:tc>
      </w:tr>
      <w:tr>
        <w:tc>
          <w:tcPr>
            <w:tcW w:type="dxa" w:w="2268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最大难点</w:t>
            </w:r>
          </w:p>
        </w:tc>
        <w:tc>
          <w:tcPr>
            <w:tcW w:type="dxa" w:w="669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上游版本兼容、凭证安全托管、多用户隔离设计、复杂 channel 登录链路自动化、日志与指标标准化。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产品建议</w:t>
            </w:r>
          </w:p>
        </w:tc>
        <w:tc>
          <w:tcPr>
            <w:tcW w:type="dxa" w:w="669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先做“统一管控平台”而不是“二次重做 OpenClaw”；优先打通实例创建、配置发布、健康监控、日志与审计。</w:t>
            </w:r>
          </w:p>
        </w:tc>
      </w:tr>
    </w:tbl>
    <w:p/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2.1 设计原则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上游优先：尽量通过 OpenClaw 官方 CLI、配置文件、WebSocket/Control UI 能力实现管理，避免大规模 fork。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隔离优先：实例、凭证、会话、文件与日志默认隔离，敏感能力默认最小授权。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模板优先：用户优先从模板创建，而非从空白配置开始。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发布优先：所有关键配置变更必须经过“校验 -&gt; 预览 -&gt; 发布 -&gt; 可回滚”的闭环。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平台托管优先：平台承担安装、升级、监控、备份、审计等运维职责，终端用户聚焦业务使用。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2.2 产品价值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对象</w:t>
            </w:r>
          </w:p>
        </w:tc>
        <w:tc>
          <w:tcPr>
            <w:tcW w:type="dxa" w:w="7257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价值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对员工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从 CLI/JSON 配置转为表单化 + 模板化创建，降低使用门槛。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对管理员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统一治理所有 OpenClaw 实例，避免手工安装和失控配置。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对企业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以租户隔离、RBAC、审计、监控、安全策略提升内部 AI 助手的可控性。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对未来商业化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预留多租户控制平面，后续可平滑扩展为外部 SaaS 版本。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3. 用户角色与权限模型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产品采用租户隔离 + 标准 RBAC 模型。最小权限原则下，不同角色拥有不同的资源级操作权限。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角色</w:t>
            </w:r>
          </w:p>
        </w:tc>
        <w:tc>
          <w:tcPr>
            <w:tcW w:type="dxa" w:w="238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关注范围</w:t>
            </w:r>
          </w:p>
        </w:tc>
        <w:tc>
          <w:tcPr>
            <w:tcW w:type="dxa" w:w="4989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典型权限</w:t>
            </w:r>
          </w:p>
        </w:tc>
      </w:tr>
      <w:tr>
        <w:tc>
          <w:tcPr>
            <w:tcW w:type="dxa" w:w="158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平台超级管理员</w:t>
            </w:r>
          </w:p>
        </w:tc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平台级配置、租户管理、宿主节点管理、全局监控、全局审计、版本策略</w:t>
            </w:r>
          </w:p>
        </w:tc>
        <w:tc>
          <w:tcPr>
            <w:tcW w:type="dxa" w:w="4989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创建租户、设置全局模板、管理宿主节点、查看全部实例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租户管理员</w:t>
            </w:r>
          </w:p>
        </w:tc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租户内用户/角色/实例/模板管理</w:t>
            </w:r>
          </w:p>
        </w:tc>
        <w:tc>
          <w:tcPr>
            <w:tcW w:type="dxa" w:w="4989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邀请用户、创建实例、分配权限、查看租户监控与审计</w:t>
            </w:r>
          </w:p>
        </w:tc>
      </w:tr>
      <w:tr>
        <w:tc>
          <w:tcPr>
            <w:tcW w:type="dxa" w:w="158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实例管理员</w:t>
            </w:r>
          </w:p>
        </w:tc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单实例生命周期与配置管理</w:t>
            </w:r>
          </w:p>
        </w:tc>
        <w:tc>
          <w:tcPr>
            <w:tcW w:type="dxa" w:w="4989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修改实例配置、发布、重启、查看日志和健康、升级回滚</w:t>
            </w:r>
          </w:p>
        </w:tc>
      </w:tr>
      <w:tr>
        <w:tc>
          <w:tcPr>
            <w:tcW w:type="dxa" w:w="158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普通员工</w:t>
            </w:r>
          </w:p>
        </w:tc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个人实例使用与有限配置</w:t>
            </w:r>
          </w:p>
        </w:tc>
        <w:tc>
          <w:tcPr>
            <w:tcW w:type="dxa" w:w="4989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创建自己的实例、使用模板、查看运行状态、有限修改配置</w:t>
            </w:r>
          </w:p>
        </w:tc>
      </w:tr>
      <w:tr>
        <w:tc>
          <w:tcPr>
            <w:tcW w:type="dxa" w:w="158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审计/安全人员</w:t>
            </w:r>
          </w:p>
        </w:tc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只读查看与导出</w:t>
            </w:r>
          </w:p>
        </w:tc>
        <w:tc>
          <w:tcPr>
            <w:tcW w:type="dxa" w:w="4989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查看日志、审计记录、配置变更、敏感操作记录</w:t>
            </w:r>
          </w:p>
        </w:tc>
      </w:tr>
    </w:tbl>
    <w:p/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3.1 默认权限策略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普通员工默认只能查看和操作自己创建的实例。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实例管理员可管理被授权实例的配置、发布、日志和监控。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租户管理员可管理租户内全部实例、模板、用户与授权，但默认不查看凭证明文。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平台超级管理员可管理所有租户与宿主节点，但敏感凭证明文建议继续走密钥系统与审批策略。</w:t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4. 产品总体方案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龙虾乐园定位为 OpenClaw 的 Control Plane。OpenClaw 实例本身是 Data Plane。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Control Plane 负责：租户管理、登录与 RBAC、模板中心、实例编排、配置中心、密钥管理、宿主节点调度、监控告警、日志审计、版本管理。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Data Plane 负责：单个 OpenClaw Gateway 进程/容器、对应配置文件、工作空间、skills、auth-profiles、sessions、channel 连接和 device nodes。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平台与 OpenClaw 的交互方式以三类为主：1）生成并下发配置文件与工作空间；2）调用 OpenClaw CLI 完成安装、登录、健康检查、升级等操作；3）通过 OpenClaw WS / Control UI 暴露的能力读取状态、日志与运行信息。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4.1 推荐总体架构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前端管理台：面向员工与管理员的可视化控制台。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平台后端：认证、权限、实例编排、配置编译、发布、日志与监控聚合、审计。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密钥中心：存储模型 API Key / OAuth 引用 / 第三方密钥。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调度层：将实例部署到宿主节点（Docker/VM/K8s 均可抽象）。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OpenClaw 实例：按实例维度生成配置文件、workspace、skills、auth profiles、sessions，并提供健康与状态读取能力。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4.2 范围规划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虽然你给出的约束是“能想到的尽量都实现”，但为了降低风险，需求文档按阶段划分如下：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P0：SSO/账号登录（可对接企业内部身份系统）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P0：租户、用户、RBAC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P0：宿主节点管理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P0：实例创建/启停/重启/删除/回收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P0：配置中心（模型、channel、agent、skill、会话隔离、安全策略）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P0：模板中心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P0：日志、健康、告警、审计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P0：升级与回滚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P1：实例克隆、备份与恢复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P1：批量操作（批量升级、批量启停、批量告警处理）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P1：更丰富的数据报表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P1：企业级策略中心（配额、可用模型、可用技能白名单）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P2：外部组织自助开通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P2：套餐/计费/配额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P2：商业化审批流与售后工单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P2：跨组织模板市场/插件市场</w:t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5. 核心业务流程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阶段</w:t>
            </w:r>
          </w:p>
        </w:tc>
        <w:tc>
          <w:tcPr>
            <w:tcW w:type="dxa" w:w="7257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租户管理员开通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平台超级管理员创建租户，初始化组织配置与默认模板。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员工登录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员工通过企业账号登录平台，进入实例工作台。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创建实例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员工选择模板或空白创建，填写实例名称，选择宿主节点/调度策略，填写模型与渠道基础配置。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配置草稿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平台生成配置草稿，支持继续补充 agent、skill、安全策略、会话隔离规则。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发布实例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平台执行配置校验、资源校验、凭证校验，通过后生成 Release 并部署实例。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实例运行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实例状态变为 Running；用户可查看健康、日志、版本、渠道状态，并通过 channel 或 WebChat 使用 OpenClaw。</w:t>
            </w:r>
          </w:p>
        </w:tc>
      </w:tr>
      <w:tr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持续维护</w:t>
            </w:r>
          </w:p>
        </w:tc>
        <w:tc>
          <w:tcPr>
            <w:tcW w:type="dxa" w:w="725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用户可编辑配置并二次发布；平台记录变更与审计。</w:t>
            </w:r>
          </w:p>
        </w:tc>
      </w:tr>
      <w:tr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升级回滚</w:t>
            </w:r>
          </w:p>
        </w:tc>
        <w:tc>
          <w:tcPr>
            <w:tcW w:type="dxa" w:w="725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管理员可发起 OpenClaw 版本升级，若失败可快速回滚到上一稳定 Release。</w:t>
            </w:r>
          </w:p>
        </w:tc>
      </w:tr>
    </w:tbl>
    <w:p/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5.1 关键状态流转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对象</w:t>
            </w:r>
          </w:p>
        </w:tc>
        <w:tc>
          <w:tcPr>
            <w:tcW w:type="dxa" w:w="6690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状态定义</w:t>
            </w:r>
          </w:p>
        </w:tc>
      </w:tr>
      <w:tr>
        <w:tc>
          <w:tcPr>
            <w:tcW w:type="dxa" w:w="2268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实例状态</w:t>
            </w:r>
          </w:p>
        </w:tc>
        <w:tc>
          <w:tcPr>
            <w:tcW w:type="dxa" w:w="669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Draft / Creating / Running / Updating / Stopped / Failed / Deleting / Deleted / Archived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配置状态</w:t>
            </w:r>
          </w:p>
        </w:tc>
        <w:tc>
          <w:tcPr>
            <w:tcW w:type="dxa" w:w="669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Draft / Validating / ValidationFailed / ReadyToApply / Applying / Applied / ApplyFailed / RolledBack</w:t>
            </w:r>
          </w:p>
        </w:tc>
      </w:tr>
      <w:tr>
        <w:tc>
          <w:tcPr>
            <w:tcW w:type="dxa" w:w="2268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宿主节点状态</w:t>
            </w:r>
          </w:p>
        </w:tc>
        <w:tc>
          <w:tcPr>
            <w:tcW w:type="dxa" w:w="669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Healthy / Warning / Unavailable / Maintenance / Retired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设备节点状态</w:t>
            </w:r>
          </w:p>
        </w:tc>
        <w:tc>
          <w:tcPr>
            <w:tcW w:type="dxa" w:w="669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PendingPair / Paired / Online / Offline / Revoked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6. 页面与信息架构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页面/模块</w:t>
            </w:r>
          </w:p>
        </w:tc>
        <w:tc>
          <w:tcPr>
            <w:tcW w:type="dxa" w:w="6576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登录与工作台首页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展示我的实例、最近告警、模板推荐、最近发布记录。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实例列表页</w:t>
            </w:r>
          </w:p>
        </w:tc>
        <w:tc>
          <w:tcPr>
            <w:tcW w:type="dxa" w:w="657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支持按状态、创建人、租户、版本、宿主节点过滤；支持批量启停。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创建实例向导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分步配置：基础信息 -&gt; 模板 -&gt; 模型/凭证 -&gt; channel -&gt; agent -&gt; skills -&gt; 安全策略 -&gt; 确认发布。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实例详情-概览</w:t>
            </w:r>
          </w:p>
        </w:tc>
        <w:tc>
          <w:tcPr>
            <w:tcW w:type="dxa" w:w="657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显示实例状态、版本、健康、运行时长、资源消耗、最近日志、最近发布。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实例详情-配置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按标签页展示基础配置、模型、channel、agent、skills、session、安全、更新策略。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实例详情-日志</w:t>
            </w:r>
          </w:p>
        </w:tc>
        <w:tc>
          <w:tcPr>
            <w:tcW w:type="dxa" w:w="657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实时日志、关键字搜索、时间筛选、下载导出。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实例详情-监控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健康检查、CPU/内存/磁盘、消息量、错误率、重启次数、渠道连接状态。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宿主节点管理</w:t>
            </w:r>
          </w:p>
        </w:tc>
        <w:tc>
          <w:tcPr>
            <w:tcW w:type="dxa" w:w="657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查看节点容量、版本、在线状态、已运行实例数、维护模式。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模板中心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维护模板版本、默认值、适用对象、可见范围、创建来源。</w:t>
            </w:r>
          </w:p>
        </w:tc>
      </w:tr>
      <w:tr>
        <w:tc>
          <w:tcPr>
            <w:tcW w:type="dxa" w:w="238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用户与权限</w:t>
            </w:r>
          </w:p>
        </w:tc>
        <w:tc>
          <w:tcPr>
            <w:tcW w:type="dxa" w:w="657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维护角色、用户组、资源授权范围。</w:t>
            </w:r>
          </w:p>
        </w:tc>
      </w:tr>
      <w:tr>
        <w:tc>
          <w:tcPr>
            <w:tcW w:type="dxa" w:w="238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审计中心</w:t>
            </w:r>
          </w:p>
        </w:tc>
        <w:tc>
          <w:tcPr>
            <w:tcW w:type="dxa" w:w="657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查看登录、配置变更、发布、升级、回滚、删除、授权等敏感操作记录。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7. 功能需求总表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以下功能清单可直接作为研发排期与测试用例拆分基础。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7"/>
              </w:rPr>
              <w:t>编号</w:t>
            </w:r>
          </w:p>
        </w:tc>
        <w:tc>
          <w:tcPr>
            <w:tcW w:type="dxa" w:w="170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7"/>
              </w:rPr>
              <w:t>模块</w:t>
            </w:r>
          </w:p>
        </w:tc>
        <w:tc>
          <w:tcPr>
            <w:tcW w:type="dxa" w:w="5443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7"/>
              </w:rPr>
              <w:t>需求说明</w:t>
            </w:r>
          </w:p>
        </w:tc>
        <w:tc>
          <w:tcPr>
            <w:tcW w:type="dxa" w:w="1020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7"/>
              </w:rPr>
              <w:t>优先级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FR-001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租户与组织管理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支持创建租户、维护租户信息、隔离租户数据。租户级可配置默认模板、允许模型、允许技能和配额策略。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FR-002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用户与 RBAC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支持角色、用户组、资源级授权；至少区分平台级、租户级、实例级权限。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FR-003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实例创建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支持模板创建、空白创建、复制已有实例创建；创建时自动生成实例目录、配置草稿、默认权限。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FR-004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实例生命周期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支持启动、停止、重启、删除、归档、恢复；所有操作需记录审计日志。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FR-005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配置中心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支持基础配置、模型、channel、agent、skill、会话、安全策略的可视化配置，并保留 Raw JSON 高级模式。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FR-006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配置校验与发布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所有变更先保存为 Draft，再执行 schema 校验、资源校验、凭证校验，通过后发布到实例；支持失败回滚。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FR-007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模型与凭证管理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支持配置模型主模型/回退模型、认证方式、凭证存储与引用；凭证对用户不可明文回显。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FR-008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Channel 管理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平台不实现 channel 协议，但需提供 channel 配置、登录状态展示、二维码/授权引导、allowlist/pairing 配置入口。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FR-009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Agent 管理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支持为单实例配置一个或多个 agent，设置 agentId、workspace、默认模型、工具白名单/黑名单、sandbox 策略。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FR-010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Skill 管理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支持查看已安装 skill、启用/禁用、配置环境变量/API Key、上传内部 skill 包或从模板导入。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FR-011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设备节点管理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展示 OpenClaw companion nodes 的 pending/paired/online 状态，支持审批、拒绝、解绑和能力查看。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FR-012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宿主节点管理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支持宿主节点注册、状态采集、容量统计、维护模式、实例调度视图。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FR-013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监控与告警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采集实例健康、通道状态、最近活动、资源消耗、重启次数、错误率；支持阈值告警。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FR-014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日志中心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支持实例日志实时查看、搜索、筛选、下载；按实例/租户/时间聚合。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FR-015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审计与变更记录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记录登录、授权、发布、配置改动、升级、回滚、删除等操作，支持导出。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FR-016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模板中心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支持官方模板/租户模板/个人模板；模板可版本化、可设默认值、可限制适用范围。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FR-017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升级与回滚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支持指定 OpenClaw 版本升级，升级前做备份，失败自动或手动回滚。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P0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FR-018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备份恢复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支持实例配置、工作空间、技能目录、关键凭证引用信息的备份与恢复。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FR-019</w:t>
            </w:r>
          </w:p>
        </w:tc>
        <w:tc>
          <w:tcPr>
            <w:tcW w:type="dxa" w:w="170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报表分析</w:t>
            </w:r>
          </w:p>
        </w:tc>
        <w:tc>
          <w:tcPr>
            <w:tcW w:type="dxa" w:w="54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支持实例使用趋势、活跃用户、渠道消息量、健康趋势、模型调用趋势。</w:t>
            </w:r>
          </w:p>
        </w:tc>
        <w:tc>
          <w:tcPr>
            <w:tcW w:type="dxa" w:w="102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P1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FR-020</w:t>
            </w:r>
          </w:p>
        </w:tc>
        <w:tc>
          <w:tcPr>
            <w:tcW w:type="dxa" w:w="170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商业化预留</w:t>
            </w:r>
          </w:p>
        </w:tc>
        <w:tc>
          <w:tcPr>
            <w:tcW w:type="dxa" w:w="54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预留组织套餐、资源配额、计费统计和自助开通的数据模型与接口扩展点。</w:t>
            </w:r>
          </w:p>
        </w:tc>
        <w:tc>
          <w:tcPr>
            <w:tcW w:type="dxa" w:w="102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7"/>
              </w:rPr>
              <w:t>P2</w:t>
            </w:r>
          </w:p>
        </w:tc>
      </w:tr>
    </w:tbl>
    <w:p/>
    <w:p>
      <w:r>
        <w:br w:type="page"/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8. 详细需求说明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1. 租户与权限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采用标准多租户模型：Tenant -&gt; User -&gt; Role -&gt; Resource。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实例、日志、配置、审计、模板、告警规则必须具备 tenant_id 归属。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支持资源级权限：实例读、实例改、实例发布、实例删除、日志查看、监控查看、模板管理、节点管理、审计查看。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敏感操作（发布、删除、升级、回滚、查看密钥明文、授权变更）需二次确认，并写审计日志。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2. 实例创建与初始化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创建实例时需填写：实例名称、所属租户、负责人、部署方式（自动调度/指定宿主节点）、模板来源。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平台根据模板生成 openclaw.json 草稿、workspace 初始目录、默认 skills 配置、安全策略和 session 隔离策略。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创建过程拆分为：资源预检查 -&gt; 配置生成 -&gt; 凭证校验 -&gt; 部署 -&gt; 启动 -&gt; 健康检查 -&gt; 完成。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若中途失败，实例状态变为 Failed，并保留失败原因与重试入口。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3. 配置中心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配置中心应同时提供“表单模式”和“高级 JSON 模式”。表单模式面向普通员工，高级模式面向实例管理员。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核心配置分组：基础信息、模型、channels、agents、skills、sessions、安全、更新策略、实验配置。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所有配置改动保存为草稿；草稿可比较差异、复制、废弃。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发布前必须进行 schema 校验、敏感配置校验、资源占用校验和可达性校验。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4. 模型与凭证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支持选择主模型、回退模型、图像模型、推理/思考级别、默认模型白名单。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支持管理 API Key / OAuth 等认证资料，但平台只保存到密钥管理系统，不向普通用户回显。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凭证可按租户级、实例级两种作用域配置；实例发布时解析成实例可用的 credential 引用。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支持凭证失效告警与轮换记录。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5. Channel 管理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平台不实现 channel 协议，但需要提供统一的 channel 配置入口与状态展示。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支持展示 channel 是否已配置、是否已登录、最近认证时间、最近异常信息。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对需要二维码/授权跳转的 channel，平台提供引导页和回传状态，而不是要求用户手工 SSH 到机器操作。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支持配置 allowlist、DM pairing、group mention 规则等安全选项。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6. Agent / Skill / 会话管理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V1 默认一个实例至少包含 1 个主 agent；高级模式可添加多个 agent。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每个 agent 可配置：agentId、workspace、默认模型、sandbox、工具 allow/deny、group mention 规则。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skills 支持查看来源（bundled / shared / workspace）、启用状态、依赖环境、配置项。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会话隔离默认启用安全模式；对于多账号/多用户访问场景，默认使用更强隔离策略。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7. 设备节点管理（OpenClaw nodes）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平台显示设备节点 pending request、paired 状态、最近在线时间、可用能力（camera/screen/location/system.run 等）。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支持审批、拒绝、解除绑定和查看节点明细。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设备节点只作为被管理资源，不作为实例调度宿主；术语上必须与宿主节点分离。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8. 宿主节点与调度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宿主节点支持注册、心跳、健康上报、进入维护模式。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每个节点展示实例数量、CPU/内存/磁盘占用、最近异常、OpenClaw 运行时版本。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调度策略至少支持：自动调度、指定节点、同租户亲和、按容量优先。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节点进入 Maintenance 后不可新建实例，可选择平滑迁移或禁止变更。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9. 日志、监控与告警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监控维度分为平台维度、租户维度、实例维度、宿主节点维度。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实例健康至少包括：gateway 可达性、health snapshot、channel probe、sessions 最近活动、重启次数。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支持阈值告警：实例不可达、channel 断连、认证失效、CPU/内存超阈值、错误率升高。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日志中心支持实时流式查看与下载导出，敏感信息需脱敏。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10. 版本、升级与回滚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平台维护 OpenClaw 兼容版本清单，只允许从已验证版本中选择升级目标。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升级流程：备份 -&gt; 预检查 -&gt; 拉取版本 -&gt; 平滑重启 -&gt; 健康检查 -&gt; 成功/失败回滚。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实例详情需展示当前版本、上次升级时间、升级结果和可回滚版本。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租户管理员可设置自动升级策略；默认关闭自动升级。</w:t>
      </w:r>
    </w:p>
    <w:p>
      <w:pPr>
        <w:pStyle w:val="LXH2"/>
        <w:spacing w:before="80" w:after="80" w:line="276" w:lineRule="auto"/>
      </w:pPr>
      <w:r>
        <w:rPr>
          <w:rFonts w:ascii="Aptos" w:hAnsi="Aptos" w:eastAsia="Noto Sans CJK SC"/>
          <w:b/>
          <w:color w:val="1F3B57"/>
          <w:sz w:val="25"/>
        </w:rPr>
        <w:t>8.1 默认业务规则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默认创建策略：普通员工仅可创建归属于自己的实例；共享实例需由租户管理员显式授权。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默认隔离策略：1 用户 1 实例；实例之间文件、会话、凭证、日志均隔离。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默认安全策略：启用 secure DM 模式，不允许实例间共享主会话。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默认发布策略：没有通过校验的配置不能发布到生产实例。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默认升级策略：先备份、再升级、失败可回滚。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默认删除策略：实例删除先进入回收站，保留 7~30 天（可配置）后彻底删除。</w:t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9. 建议数据模型</w:t>
      </w:r>
    </w:p>
    <w:p>
      <w:pPr>
        <w:spacing w:before="0" w:after="100" w:line="317" w:lineRule="auto"/>
      </w:pPr>
      <w:r>
        <w:rPr>
          <w:rFonts w:ascii="Aptos" w:hAnsi="Aptos" w:eastAsia="Noto Sans CJK SC"/>
          <w:color w:val="1F2933"/>
          <w:sz w:val="21"/>
        </w:rPr>
        <w:t>以下数据模型用于指导后端与数据库设计，具体字段可按技术实现细化。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实体</w:t>
            </w:r>
          </w:p>
        </w:tc>
        <w:tc>
          <w:tcPr>
            <w:tcW w:type="dxa" w:w="6973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建议核心字段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Tenant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name, status, owner_id, policy_json, created_at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User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name, email, status, auth_source, created_at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RoleBinding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user_id, role_code, resource_scope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WorkerNode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name, type, region, capacity_json, status, heartbeat_at, labels_json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OpenClawInstance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owner_id, name, template_id, version, worker_node_id, state, runtime_endpoint, created_at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InstanceRelease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instance_id, release_no, config_hash, status, created_by, created_at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InstanceConfigDraft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instance_id, draft_no, config_json, form_json, diff_json, status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CredentialRef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scope_type, scope_id, provider, secret_ref, status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SkillPackage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name, version, source_type, enabled_by_default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DeviceNode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instance_id, node_name, capabilities_json, paired_status, last_seen_at</w:t>
            </w:r>
          </w:p>
        </w:tc>
      </w:tr>
      <w:tr>
        <w:tc>
          <w:tcPr>
            <w:tcW w:type="dxa" w:w="198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AlertEvent</w:t>
            </w:r>
          </w:p>
        </w:tc>
        <w:tc>
          <w:tcPr>
            <w:tcW w:type="dxa" w:w="697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instance_id, metric_code, severity, status, triggered_at</w:t>
            </w:r>
          </w:p>
        </w:tc>
      </w:tr>
      <w:tr>
        <w:tc>
          <w:tcPr>
            <w:tcW w:type="dxa" w:w="198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AuditLog</w:t>
            </w:r>
          </w:p>
        </w:tc>
        <w:tc>
          <w:tcPr>
            <w:tcW w:type="dxa" w:w="697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id, tenant_id, actor_id, action_code, resource_type, resource_id, detail_json, created_at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10.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维度</w:t>
            </w:r>
          </w:p>
        </w:tc>
        <w:tc>
          <w:tcPr>
            <w:tcW w:type="dxa" w:w="7143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要求</w:t>
            </w:r>
          </w:p>
        </w:tc>
      </w:tr>
      <w:tr>
        <w:tc>
          <w:tcPr>
            <w:tcW w:type="dxa" w:w="181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隔离性</w:t>
            </w:r>
          </w:p>
        </w:tc>
        <w:tc>
          <w:tcPr>
            <w:tcW w:type="dxa" w:w="71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不同租户、不同用户、不同实例的数据与运行环境必须隔离，禁止跨实例读取会话、auth profiles、workspace。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安全性</w:t>
            </w:r>
          </w:p>
        </w:tc>
        <w:tc>
          <w:tcPr>
            <w:tcW w:type="dxa" w:w="71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所有敏感信息采用密钥托管；日志、审计导出需脱敏；控制台访问采用企业身份认证与最小权限控制。</w:t>
            </w:r>
          </w:p>
        </w:tc>
      </w:tr>
      <w:tr>
        <w:tc>
          <w:tcPr>
            <w:tcW w:type="dxa" w:w="181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可靠性</w:t>
            </w:r>
          </w:p>
        </w:tc>
        <w:tc>
          <w:tcPr>
            <w:tcW w:type="dxa" w:w="71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平台需具备失败重试、部署幂等、配置发布可回滚、监控告警完整可追踪。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可用性</w:t>
            </w:r>
          </w:p>
        </w:tc>
        <w:tc>
          <w:tcPr>
            <w:tcW w:type="dxa" w:w="71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核心页面可在企业常用浏览器使用；实例操作链路需提供明确进度与失败原因。</w:t>
            </w:r>
          </w:p>
        </w:tc>
      </w:tr>
      <w:tr>
        <w:tc>
          <w:tcPr>
            <w:tcW w:type="dxa" w:w="1814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可扩展性</w:t>
            </w:r>
          </w:p>
        </w:tc>
        <w:tc>
          <w:tcPr>
            <w:tcW w:type="dxa" w:w="7143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支持未来扩展到外部组织、自助注册、计费、配额和更多 OpenClaw 版本。</w:t>
            </w:r>
          </w:p>
        </w:tc>
      </w:tr>
      <w:tr>
        <w:tc>
          <w:tcPr>
            <w:tcW w:type="dxa" w:w="1814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兼容性</w:t>
            </w:r>
          </w:p>
        </w:tc>
        <w:tc>
          <w:tcPr>
            <w:tcW w:type="dxa" w:w="7143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建立与 OpenClaw 上游版本的兼容矩阵，避免直接绑定单一 commit。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11. 监控与报表要求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实例健康：gateway reachability、health snapshot、channel status、最近会话活动、重启次数。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资源监控：CPU、内存、磁盘、容器/进程状态、节点容量占用。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使用监控：消息量、活跃实例数、活跃用户数、技能调用次数、模型调用趋势。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安全监控：异常登录、权限变更、凭证失效、设备节点异常审批、exec/sandbox 风险操作。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报表输出：实例活跃排行、租户使用趋势、错误趋势、健康趋势、版本分布、升级成功率。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AF7"/>
            <w:tcBorders>
              <w:left w:val="single" w:sz="10" w:color="BFD3E6"/>
              <w:top w:val="single" w:sz="10" w:color="BFD3E6"/>
              <w:right w:val="single" w:sz="10" w:color="BFD3E6"/>
              <w:bottom w:val="single" w:sz="10" w:color="BFD3E6"/>
            </w:tcBorders>
          </w:tcPr>
          <w:p>
            <w:pPr>
              <w:spacing w:before="0" w:after="80" w:line="276" w:lineRule="auto"/>
            </w:pPr>
            <w:r>
              <w:rPr>
                <w:rFonts w:ascii="Aptos" w:hAnsi="Aptos" w:eastAsia="Noto Sans CJK SC"/>
                <w:b/>
                <w:color w:val="163A5F"/>
                <w:sz w:val="22"/>
              </w:rPr>
              <w:t>监控口径建议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凡 OpenClaw 原生已提供的 health / status / logs / session 概览，平台优先直接采集并二次可视化。</w:t>
            </w:r>
          </w:p>
          <w:p>
            <w:pPr>
              <w:spacing w:before="0" w:after="40" w:line="288" w:lineRule="auto"/>
              <w:ind w:left="227" w:hanging="198"/>
            </w:pPr>
            <w:r>
              <w:rPr>
                <w:rFonts w:ascii="Aptos" w:hAnsi="Aptos" w:eastAsia="Noto Sans CJK SC"/>
                <w:b/>
                <w:color w:val="163A5F"/>
                <w:sz w:val="20"/>
              </w:rPr>
              <w:t xml:space="preserve">• </w:t>
            </w:r>
            <w:r>
              <w:rPr>
                <w:rFonts w:ascii="Aptos" w:hAnsi="Aptos" w:eastAsia="Noto Sans CJK SC"/>
                <w:color w:val="1F2933"/>
                <w:sz w:val="20"/>
              </w:rPr>
              <w:t>凡 OpenClaw 原生未直接提供的成本/资源/调用量指标，平台通过宿主节点监控、日志解析或代理埋点补充。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12.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850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编号</w:t>
            </w:r>
          </w:p>
        </w:tc>
        <w:tc>
          <w:tcPr>
            <w:tcW w:type="dxa" w:w="8107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验收项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A1</w:t>
            </w:r>
          </w:p>
        </w:tc>
        <w:tc>
          <w:tcPr>
            <w:tcW w:type="dxa" w:w="810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员工可在无命令行权限前提下，通过平台 15 分钟内创建并启用一个可用的 OpenClaw 实例。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A2</w:t>
            </w:r>
          </w:p>
        </w:tc>
        <w:tc>
          <w:tcPr>
            <w:tcW w:type="dxa" w:w="810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实例创建、配置发布、重启、升级、删除均可在平台完成，并有状态追踪与失败原因。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A3</w:t>
            </w:r>
          </w:p>
        </w:tc>
        <w:tc>
          <w:tcPr>
            <w:tcW w:type="dxa" w:w="810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每个实例都能查看健康状态、最近日志、当前版本、最近发布记录。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A4</w:t>
            </w:r>
          </w:p>
        </w:tc>
        <w:tc>
          <w:tcPr>
            <w:tcW w:type="dxa" w:w="810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不同用户实例间不会出现会话、凭证、日志串扰。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A5</w:t>
            </w:r>
          </w:p>
        </w:tc>
        <w:tc>
          <w:tcPr>
            <w:tcW w:type="dxa" w:w="810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租户管理员可查看租户内所有实例的列表、状态、负责人、健康与审计记录。</w:t>
            </w:r>
          </w:p>
        </w:tc>
      </w:tr>
      <w:tr>
        <w:tc>
          <w:tcPr>
            <w:tcW w:type="dxa" w:w="850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A6</w:t>
            </w:r>
          </w:p>
        </w:tc>
        <w:tc>
          <w:tcPr>
            <w:tcW w:type="dxa" w:w="8107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配置变更支持草稿、校验、发布、回滚的闭环。</w:t>
            </w:r>
          </w:p>
        </w:tc>
      </w:tr>
      <w:tr>
        <w:tc>
          <w:tcPr>
            <w:tcW w:type="dxa" w:w="850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A7</w:t>
            </w:r>
          </w:p>
        </w:tc>
        <w:tc>
          <w:tcPr>
            <w:tcW w:type="dxa" w:w="8107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宿主节点异常或实例失败时，平台能产生告警并可定位失败原因。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13.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721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风险</w:t>
            </w:r>
          </w:p>
        </w:tc>
        <w:tc>
          <w:tcPr>
            <w:tcW w:type="dxa" w:w="6236"/>
            <w:vAlign w:val="center"/>
            <w:shd w:fill="D9E8F5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/>
                <w:color w:val="163A5F"/>
                <w:sz w:val="18"/>
              </w:rPr>
              <w:t>应对策略</w:t>
            </w:r>
          </w:p>
        </w:tc>
      </w:tr>
      <w:tr>
        <w:tc>
          <w:tcPr>
            <w:tcW w:type="dxa" w:w="272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上游版本快速变化</w:t>
            </w:r>
          </w:p>
        </w:tc>
        <w:tc>
          <w:tcPr>
            <w:tcW w:type="dxa" w:w="623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通过兼容矩阵、适配层、灰度升级和回归测试降低风险。</w:t>
            </w:r>
          </w:p>
        </w:tc>
      </w:tr>
      <w:tr>
        <w:tc>
          <w:tcPr>
            <w:tcW w:type="dxa" w:w="272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Channel 登录自动化复杂</w:t>
            </w:r>
          </w:p>
        </w:tc>
        <w:tc>
          <w:tcPr>
            <w:tcW w:type="dxa" w:w="623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V1 采用“平台引导 + 状态回传”的半自动模式，避免试图完全无感化所有登录链路。</w:t>
            </w:r>
          </w:p>
        </w:tc>
      </w:tr>
      <w:tr>
        <w:tc>
          <w:tcPr>
            <w:tcW w:type="dxa" w:w="272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多用户共享实例的安全边界复杂</w:t>
            </w:r>
          </w:p>
        </w:tc>
        <w:tc>
          <w:tcPr>
            <w:tcW w:type="dxa" w:w="623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默认不作为标准模式；仅作为高级模式，由管理员显式开启。</w:t>
            </w:r>
          </w:p>
        </w:tc>
      </w:tr>
      <w:tr>
        <w:tc>
          <w:tcPr>
            <w:tcW w:type="dxa" w:w="2721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技能与第三方工具带来执行风险</w:t>
            </w:r>
          </w:p>
        </w:tc>
        <w:tc>
          <w:tcPr>
            <w:tcW w:type="dxa" w:w="6236"/>
            <w:vAlign w:val="center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引入技能白名单、工具 allow/deny、sandbox 策略、审批日志。</w:t>
            </w:r>
          </w:p>
        </w:tc>
      </w:tr>
      <w:tr>
        <w:tc>
          <w:tcPr>
            <w:tcW w:type="dxa" w:w="2721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商业化过早介入导致产品发散</w:t>
            </w:r>
          </w:p>
        </w:tc>
        <w:tc>
          <w:tcPr>
            <w:tcW w:type="dxa" w:w="6236"/>
            <w:vAlign w:val="center"/>
            <w:shd w:fill="F8FBFE"/>
            <w:tcBorders>
              <w:left w:val="single" w:sz="6" w:color="D9E2EC"/>
              <w:top w:val="single" w:sz="6" w:color="D9E2EC"/>
              <w:right w:val="single" w:sz="6" w:color="D9E2EC"/>
              <w:bottom w:val="single" w:sz="6" w:color="D9E2EC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 w:eastAsia="Noto Sans CJK SC"/>
                <w:b w:val="0"/>
                <w:color w:val="1F2933"/>
                <w:sz w:val="18"/>
              </w:rPr>
              <w:t>明确内部版与商业版边界，P0/P1 不做计费。</w:t>
            </w:r>
          </w:p>
        </w:tc>
      </w:tr>
    </w:tbl>
    <w:p/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14. 待确认事项（不影响首版立项）</w:t>
      </w:r>
    </w:p>
    <w:p>
      <w:pPr>
        <w:spacing w:before="0" w:after="6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1. </w:t>
      </w:r>
      <w:r>
        <w:rPr>
          <w:rFonts w:ascii="Aptos" w:hAnsi="Aptos" w:eastAsia="Noto Sans CJK SC"/>
          <w:color w:val="1F2933"/>
          <w:sz w:val="21"/>
        </w:rPr>
        <w:t>是否允许一个员工同时拥有多个实例（建议允许，默认上限可配）。</w:t>
      </w:r>
    </w:p>
    <w:p>
      <w:pPr>
        <w:spacing w:before="0" w:after="6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2. </w:t>
      </w:r>
      <w:r>
        <w:rPr>
          <w:rFonts w:ascii="Aptos" w:hAnsi="Aptos" w:eastAsia="Noto Sans CJK SC"/>
          <w:color w:val="1F2933"/>
          <w:sz w:val="21"/>
        </w:rPr>
        <w:t>是否允许租户管理员查看实例的原始模型凭证明文（建议不允许，仅支持重新绑定）。</w:t>
      </w:r>
    </w:p>
    <w:p>
      <w:pPr>
        <w:spacing w:before="0" w:after="6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3. </w:t>
      </w:r>
      <w:r>
        <w:rPr>
          <w:rFonts w:ascii="Aptos" w:hAnsi="Aptos" w:eastAsia="Noto Sans CJK SC"/>
          <w:color w:val="1F2933"/>
          <w:sz w:val="21"/>
        </w:rPr>
        <w:t>宿主环境优先使用 Docker 还是 K8s（建议先 Docker/VM，后续再抽象 K8s）。</w:t>
      </w:r>
    </w:p>
    <w:p>
      <w:pPr>
        <w:spacing w:before="0" w:after="6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4. </w:t>
      </w:r>
      <w:r>
        <w:rPr>
          <w:rFonts w:ascii="Aptos" w:hAnsi="Aptos" w:eastAsia="Noto Sans CJK SC"/>
          <w:color w:val="1F2933"/>
          <w:sz w:val="21"/>
        </w:rPr>
        <w:t>企业身份系统接入方式（OIDC / LDAP / 企业微信 / 钉钉 / 自建 SSO）。</w:t>
      </w:r>
    </w:p>
    <w:p>
      <w:pPr>
        <w:pStyle w:val="LXH1"/>
        <w:spacing w:before="160" w:after="80" w:line="276" w:lineRule="auto"/>
      </w:pPr>
      <w:r>
        <w:rPr>
          <w:rFonts w:ascii="Aptos" w:hAnsi="Aptos" w:eastAsia="Noto Sans CJK SC"/>
          <w:b/>
          <w:color w:val="163A5F"/>
          <w:sz w:val="30"/>
        </w:rPr>
        <w:t>15. 参考基线（用于需求设计校准）</w:t>
      </w:r>
    </w:p>
    <w:p>
      <w:pPr>
        <w:spacing w:before="0" w:after="40" w:line="300" w:lineRule="auto"/>
        <w:ind w:left="227" w:hanging="227"/>
      </w:pPr>
      <w:r>
        <w:rPr>
          <w:rFonts w:ascii="Aptos" w:hAnsi="Aptos" w:eastAsia="Noto Sans CJK SC"/>
          <w:b/>
          <w:color w:val="163A5F"/>
          <w:sz w:val="21"/>
        </w:rPr>
        <w:t xml:space="preserve">• </w:t>
      </w:r>
      <w:r>
        <w:rPr>
          <w:rFonts w:ascii="Aptos" w:hAnsi="Aptos" w:eastAsia="Noto Sans CJK SC"/>
          <w:color w:val="1F2933"/>
          <w:sz w:val="21"/>
        </w:rPr>
        <w:t>OpenClaw 官方文档：Getting Started、Configuration、Control UI、Dashboard、Multi-Agent Routing、Security、Session Management、Skills、Nodes、Health Checks、Chat Channels。</w:t>
      </w:r>
    </w:p>
    <w:p>
      <w:pPr>
        <w:spacing w:before="0" w:after="0" w:line="317" w:lineRule="auto"/>
      </w:pPr>
      <w:r>
        <w:rPr>
          <w:rFonts w:ascii="Aptos" w:hAnsi="Aptos" w:eastAsia="Noto Sans CJK SC"/>
          <w:color w:val="1F2933"/>
          <w:sz w:val="21"/>
        </w:rPr>
        <w:t>本文档已将 OpenClaw 的官方能力与约束转化为平台产品设计输入，研发实现时仍应以平台适配层和上游兼容矩阵为准。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5B6B7A"/>
        <w:sz w:val="17"/>
      </w:rPr>
      <w:t>内部草案 · 供产品/设计/研发/测试协同评审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5B6B7A"/>
        <w:sz w:val="17"/>
      </w:rPr>
      <w:t>龙虾乐园 · OpenClaw 管控平台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XTitle">
    <w:name w:val="LX Title"/>
    <w:basedOn w:val="Title"/>
    <w:rPr>
      <w:rFonts w:ascii="Aptos" w:hAnsi="Aptos" w:eastAsia="Noto Sans CJK SC"/>
      <w:b/>
      <w:color w:val="163A5F"/>
      <w:sz w:val="44"/>
    </w:rPr>
  </w:style>
  <w:style w:type="paragraph" w:customStyle="1" w:styleId="LXSubtitle">
    <w:name w:val="LX Subtitle"/>
    <w:basedOn w:val="Subtitle"/>
    <w:rPr>
      <w:rFonts w:ascii="Aptos" w:hAnsi="Aptos" w:eastAsia="Noto Sans CJK SC"/>
      <w:b w:val="0"/>
      <w:color w:val="5B6B7A"/>
      <w:sz w:val="21"/>
    </w:rPr>
  </w:style>
  <w:style w:type="paragraph" w:customStyle="1" w:styleId="LXH1">
    <w:name w:val="LX H1"/>
    <w:basedOn w:val="Heading1"/>
    <w:rPr>
      <w:rFonts w:ascii="Aptos" w:hAnsi="Aptos" w:eastAsia="Noto Sans CJK SC"/>
      <w:b/>
      <w:color w:val="163A5F"/>
      <w:sz w:val="30"/>
    </w:rPr>
  </w:style>
  <w:style w:type="paragraph" w:customStyle="1" w:styleId="LXH2">
    <w:name w:val="LX H2"/>
    <w:basedOn w:val="Heading2"/>
    <w:rPr>
      <w:rFonts w:ascii="Aptos" w:hAnsi="Aptos" w:eastAsia="Noto Sans CJK SC"/>
      <w:b/>
      <w:color w:val="1F3B57"/>
      <w:sz w:val="25"/>
    </w:rPr>
  </w:style>
  <w:style w:type="paragraph" w:customStyle="1" w:styleId="LXH3">
    <w:name w:val="LX H3"/>
    <w:basedOn w:val="Heading3"/>
    <w:rPr>
      <w:rFonts w:ascii="Aptos" w:hAnsi="Aptos" w:eastAsia="Noto Sans CJK SC"/>
      <w:b/>
      <w:color w:val="2E4D6A"/>
      <w:sz w:val="23"/>
    </w:rPr>
  </w:style>
  <w:style w:type="paragraph" w:customStyle="1" w:styleId="LXSmall">
    <w:name w:val="LX Small"/>
    <w:basedOn w:val="Normal"/>
    <w:rPr>
      <w:rFonts w:ascii="Aptos" w:hAnsi="Aptos" w:eastAsia="Noto Sans CJK SC"/>
      <w:b w:val="0"/>
      <w:color w:val="5B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