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da Estratégia de Execução para PFR para Vendas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Se(fechamento&lt;fechamento[1])e(highest(high,2)&gt;highest(high,2)[1]) 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  (Slowstochastic(8)&gt;80) then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SellShortAtMarket;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Se(SlowStochastic(8)&lt;20)then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BuyToCoverAtMarket;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