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da Estratégia Preço de Fechamento de Reversão para Compra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Se (Fechamento &gt; Fechamento[1]) e (lowest(Low,2) &lt; lowest(Low,2)[1]) e (SlowStochastic(8)&lt;20) then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BuyAtMarket;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Se (SlowStochastic(8) &gt;80) then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SellToCoverAtMarket;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