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///////////////////// Regra de Cor para Preço de Fechamento de Reversão ///////////////////////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Se (Fechamento &gt; Fechamento[1]) e (lowest(Low,2) &lt; lowest(Low,2)[1]) e (SlowStochastic(8) &lt; 20) então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PaintBar(clVerde)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Senão Se (Fechamento &lt; Fechamento[1]) e (highest(High,2) &gt; highest(High,2)[1]) e (SlowStochastic(8) &gt; 80) então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PaintBar(clVermelho);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