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criação da Regra de Coloração Tabajara, de André Machado - Ogro de Wall Street.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Se (Fechamento &gt; Fechamento[1]) e (Fechamento &gt; Media(21,Close)) e (Media(21,Close) &gt; Media(21,Close)[1]) então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PaintBar(clVerde)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Senão Se (Fechamento &lt; Fechamento[1]) e (Fechamento &lt; Media(21,Close)) e (Media(21,Close) &lt; Media(21,Close)[1]) então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PaintBar(clVermelho);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Fim;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