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Arial" w:hAnsi="Arial" w:eastAsia="黑体" w:cs="Arial"/>
          <w:b/>
          <w:sz w:val="36"/>
        </w:rPr>
        <w:t>问题一　模型的建立</w:t>
      </w:r>
    </w:p>
    <w:p>
      <w:pPr>
        <w:pStyle w:val="Heading1"/>
      </w:pPr>
      <w:r>
        <w:t>1. 两光束干涉模型</w:t>
      </w:r>
    </w:p>
    <w:p>
      <w:r>
        <w:rPr>
          <w:rFonts w:ascii="Times New Roman" w:hAnsi="Times New Roman" w:eastAsia="宋体" w:cs="Times New Roman"/>
          <w:sz w:val="21"/>
        </w:rPr>
        <w:t>问题一只考虑两束反射光：一束在空气—外延层界面直接反射，另一束进入外延层，在外延层—衬底界面反射一次后再透射回空气。二者沿平行方向出射，但传播路径不同，由此形成随波数变化的相位差。模型的关键不在于拟合反射率的整体起伏，而在于建立条纹相位与外延层厚度之间的对应关系。</w:t>
      </w:r>
    </w:p>
    <w:p>
      <w:r>
        <w:rPr>
          <w:rFonts w:ascii="Times New Roman" w:hAnsi="Times New Roman" w:eastAsia="宋体" w:cs="Times New Roman"/>
          <w:sz w:val="21"/>
        </w:rPr>
        <w:t xml:space="preserve">将空气、外延层和衬底视为三层平行介质，如图 1 所示。设外延层厚度为 </w:t>
      </w:r>
      <m:oMath>
        <m:r>
          <m:t>d</m:t>
        </m:r>
      </m:oMath>
      <w:r>
        <w:rPr>
          <w:rFonts w:ascii="Times New Roman" w:hAnsi="Times New Roman" w:eastAsia="宋体" w:cs="Times New Roman"/>
          <w:sz w:val="21"/>
        </w:rPr>
        <w:t xml:space="preserve">，空气折射率为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，通常可近似取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t>=1</m:t>
        </m:r>
      </m:oMath>
      <w:r>
        <w:rPr>
          <w:rFonts w:ascii="Times New Roman" w:hAnsi="Times New Roman" w:eastAsia="宋体" w:cs="Times New Roman"/>
          <w:sz w:val="21"/>
        </w:rPr>
        <w:t xml:space="preserve">；外延层折射率写成波数的函数 </w:t>
      </w:r>
      <m:oMath>
        <m:r>
          <m:t>n(σ)</m:t>
        </m:r>
      </m:oMath>
      <w:r>
        <w:rPr>
          <w:rFonts w:ascii="Times New Roman" w:hAnsi="Times New Roman" w:eastAsia="宋体" w:cs="Times New Roman"/>
          <w:sz w:val="21"/>
        </w:rPr>
        <w:t xml:space="preserve">，其中 </w:t>
      </w:r>
      <m:oMath>
        <m:r>
          <m:t>σ=1/λ</m:t>
        </m:r>
      </m:oMath>
      <w:r>
        <w:rPr>
          <w:rFonts w:ascii="Times New Roman" w:hAnsi="Times New Roman" w:eastAsia="宋体" w:cs="Times New Roman"/>
          <w:sz w:val="21"/>
        </w:rPr>
        <w:t>，</w:t>
      </w:r>
      <m:oMath>
        <m:r>
          <m:t>λ</m:t>
        </m:r>
      </m:oMath>
      <w:r>
        <w:rPr>
          <w:rFonts w:ascii="Times New Roman" w:hAnsi="Times New Roman" w:eastAsia="宋体" w:cs="Times New Roman"/>
          <w:sz w:val="21"/>
        </w:rPr>
        <w:t xml:space="preserve"> 为真空波长。入射角和膜内折射角分别记为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>、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>。建模时认为外延层在测量区域内厚度均匀，材料均匀且各向同性；各波数分量可分别看作单色平面波；吸收和散射主要改变条纹振幅，不改变主导相位。仪器噪声、背景漂移及其余未建模因素统一归入误差项。后续多次反射不在本问考虑范围内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3213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两光束干涉光路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1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单次反射与透射条件下的两光束干涉光路</w:t>
      </w:r>
    </w:p>
    <w:p>
      <w:pPr>
        <w:pStyle w:val="Heading1"/>
      </w:pPr>
      <w:r>
        <w:t>2. 折射角与有效光程差</w:t>
      </w:r>
    </w:p>
    <w:p>
      <w:r>
        <w:rPr>
          <w:rFonts w:ascii="Times New Roman" w:hAnsi="Times New Roman" w:eastAsia="宋体" w:cs="Times New Roman"/>
          <w:sz w:val="21"/>
        </w:rPr>
        <w:t xml:space="preserve">由于折射率随波数变化，膜内折射角也随 </w:t>
      </w:r>
      <m:oMath>
        <m:r>
          <m:t>σ</m:t>
        </m:r>
      </m:oMath>
      <w:r>
        <w:rPr>
          <w:rFonts w:ascii="Times New Roman" w:hAnsi="Times New Roman" w:eastAsia="宋体" w:cs="Times New Roman"/>
          <w:sz w:val="21"/>
        </w:rPr>
        <w:t xml:space="preserve"> 改变。由斯涅尔定律可得</w:t>
      </w:r>
    </w:p>
    <w:p>
      <w:pPr>
        <w:pStyle w:val="公式"/>
      </w:pP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=n(σ)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,</m:t>
        </m:r>
        <m:r>
          <m:t>n(σ)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(σ)−</m:t>
            </m:r>
            <m:sSubSup>
              <m:e>
                <m:r>
                  <m:t>n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rad>
        <m:r>
          <m:t>.</m:t>
        </m:r>
      </m:oMath>
      <w:r>
        <w:tab/>
        <w:t>（1）</w:t>
      </w:r>
    </w:p>
    <w:p>
      <w:r>
        <w:rPr>
          <w:rFonts w:ascii="Times New Roman" w:hAnsi="Times New Roman" w:eastAsia="宋体" w:cs="Times New Roman"/>
          <w:sz w:val="21"/>
        </w:rPr>
        <w:t xml:space="preserve">式（1）消去了难以直接测量的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>，使后续模型只保留实验给定的入射角与材料折射率。</w:t>
      </w:r>
    </w:p>
    <w:p>
      <w:r>
        <w:rPr>
          <w:rFonts w:ascii="Times New Roman" w:hAnsi="Times New Roman" w:eastAsia="宋体" w:cs="Times New Roman"/>
          <w:sz w:val="21"/>
        </w:rPr>
        <w:t xml:space="preserve">第二束光在外延层内往返一次，其膜内几何路程为 </w:t>
      </w:r>
      <m:oMath>
        <m:r>
          <m:t>2d/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。这一长度不能直接作为两束出射光的光程差，因为两束光的出射点存在横向错位，比较相位时应选取同一出射波前。横向位移为 </w:t>
      </w:r>
      <m:oMath>
        <m:r>
          <m:t>2d</m:t>
        </m:r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>，对应的外部传播光程需要从膜内光程中扣除。因此</w:t>
      </w:r>
    </w:p>
    <w:p>
      <w:pPr>
        <w:pStyle w:val="公式"/>
      </w:pPr>
      <m:oMath>
        <m:r>
          <m:t>ΔL=</m:t>
        </m:r>
        <m:f>
          <m:fPr>
            <m:type m:val="bar"/>
          </m:fPr>
          <m:num>
            <m:r>
              <m:t>2n(σ)d</m:t>
            </m:r>
          </m:num>
          <m:den>
            <m:r>
              <m:rPr>
                <m:sty m:val="p"/>
              </m:rPr>
              <m:t>cos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den>
        </m:f>
        <m:r>
          <m:t>−2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t>d</m:t>
        </m:r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br/>
      </w:r>
      <m:oMath>
        <m:r>
          <m:t>=2n(σ)d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br/>
      </w:r>
      <m:oMath>
        <m:r>
          <m:t>=2d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(σ)−</m:t>
            </m:r>
            <m:sSubSup>
              <m:e>
                <m:r>
                  <m:t>n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rad>
        <m:r>
          <m:t>.</m:t>
        </m:r>
      </m:oMath>
      <w:r>
        <w:tab/>
        <w:t>（2）</w:t>
      </w:r>
    </w:p>
    <w:p>
      <w:r>
        <w:rPr>
          <w:rFonts w:ascii="Times New Roman" w:hAnsi="Times New Roman" w:eastAsia="宋体" w:cs="Times New Roman"/>
          <w:sz w:val="21"/>
        </w:rPr>
        <w:t xml:space="preserve">式（2）说明，薄膜干涉中的有效光程差含 </w:t>
      </w:r>
      <m:oMath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，而不是 </w:t>
      </w:r>
      <m:oMath>
        <m:r>
          <m:t>1/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>。前者来自同一波前上的相位比较，后者只描述第二束光在膜内走过的几何路程。</w:t>
      </w:r>
    </w:p>
    <w:p>
      <w:pPr>
        <w:pStyle w:val="Heading1"/>
      </w:pPr>
      <w:r>
        <w:t>3. 相位差与反射率模型</w:t>
      </w:r>
    </w:p>
    <w:p>
      <w:r>
        <w:rPr>
          <w:rFonts w:ascii="Times New Roman" w:hAnsi="Times New Roman" w:eastAsia="宋体" w:cs="Times New Roman"/>
          <w:sz w:val="21"/>
        </w:rPr>
        <w:t xml:space="preserve">传播光程产生的相位差为 </w:t>
      </w:r>
      <m:oMath>
        <m:sSub>
          <m:e>
            <m:r>
              <m:t>δ</m:t>
            </m:r>
          </m:e>
          <m:sub>
            <m:r>
              <m:t>p</m:t>
            </m:r>
          </m:sub>
        </m:sSub>
        <m:r>
          <m:t>=(2π/λ)ΔL</m:t>
        </m:r>
      </m:oMath>
      <w:r>
        <w:rPr>
          <w:rFonts w:ascii="Times New Roman" w:hAnsi="Times New Roman" w:eastAsia="宋体" w:cs="Times New Roman"/>
          <w:sz w:val="21"/>
        </w:rPr>
        <w:t xml:space="preserve">。两个界面的反射还可能带来半波损失，记两束光的相对反射附加相位为 </w:t>
      </w:r>
      <m:oMath>
        <m:sSub>
          <m:e>
            <m:r>
              <m:t>ϕ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>，则总相位差写为</w:t>
      </w:r>
    </w:p>
    <w:p>
      <w:pPr>
        <w:pStyle w:val="公式"/>
      </w:pPr>
      <m:oMath>
        <m:r>
          <m:t>δ(σ)=4πdσ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(σ)−</m:t>
            </m:r>
            <m:sSubSup>
              <m:e>
                <m:r>
                  <m:t>n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rad>
        <m:r>
          <m:t>+</m:t>
        </m:r>
        <m:sSub>
          <m:e>
            <m:r>
              <m:t>ϕ</m:t>
            </m:r>
          </m:e>
          <m:sub>
            <m:r>
              <m:t>r</m:t>
            </m:r>
          </m:sub>
        </m:sSub>
        <m:r>
          <m:t>.</m:t>
        </m:r>
      </m:oMath>
      <w:r>
        <w:tab/>
        <w:t>（3）</w:t>
      </w:r>
    </w:p>
    <w:p>
      <m:oMath>
        <m:sSub>
          <m:e>
            <m:r>
              <m:t>ϕ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 由两个界面的折射率关系决定。在理想无吸收介质中，它通常取 </w:t>
      </w:r>
      <m:oMath>
        <m:r>
          <m:t>0</m:t>
        </m:r>
      </m:oMath>
      <w:r>
        <w:rPr>
          <w:rFonts w:ascii="Times New Roman" w:hAnsi="Times New Roman" w:eastAsia="宋体" w:cs="Times New Roman"/>
          <w:sz w:val="21"/>
        </w:rPr>
        <w:t xml:space="preserve"> 或 </w:t>
      </w:r>
      <m:oMath>
        <m:r>
          <m:t>π</m:t>
        </m:r>
      </m:oMath>
      <w:r>
        <w:rPr>
          <w:rFonts w:ascii="Times New Roman" w:hAnsi="Times New Roman" w:eastAsia="宋体" w:cs="Times New Roman"/>
          <w:sz w:val="21"/>
        </w:rPr>
        <w:t>。该相位会改变峰、谷所对应的绝对干涉级次；若其在研究波段内保持不变，则对相邻同类极值作差时可以消去。</w:t>
      </w:r>
    </w:p>
    <w:p>
      <w:r>
        <w:rPr>
          <w:rFonts w:ascii="Times New Roman" w:hAnsi="Times New Roman" w:eastAsia="宋体" w:cs="Times New Roman"/>
          <w:sz w:val="21"/>
        </w:rPr>
        <w:t xml:space="preserve">设两束反射光的强度分别为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(σ)</m:t>
        </m:r>
      </m:oMath>
      <w:r>
        <w:rPr>
          <w:rFonts w:ascii="Times New Roman" w:hAnsi="Times New Roman" w:eastAsia="宋体" w:cs="Times New Roman"/>
          <w:sz w:val="21"/>
        </w:rPr>
        <w:t xml:space="preserve"> 和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t>(σ)</m:t>
        </m:r>
      </m:oMath>
      <w:r>
        <w:rPr>
          <w:rFonts w:ascii="Times New Roman" w:hAnsi="Times New Roman" w:eastAsia="宋体" w:cs="Times New Roman"/>
          <w:sz w:val="21"/>
        </w:rPr>
        <w:t>。依据相干光叠加原理，合成光强满足</w:t>
      </w:r>
    </w:p>
    <w:p>
      <w:pPr>
        <w:pStyle w:val="公式"/>
      </w:pPr>
      <m:oMath>
        <m:r>
          <m:t>I(σ)=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(σ)+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(σ)+2</m:t>
        </m:r>
        <m:rad>
          <m:radPr>
            <m:degHide m:val="on"/>
          </m:radPr>
          <m:deg/>
          <m:e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t>(σ)</m:t>
            </m:r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t>(σ)</m:t>
            </m:r>
          </m:e>
        </m:rad>
        <m:r>
          <m:rPr>
            <m:sty m:val="p"/>
          </m:rPr>
          <m:t>cos</m:t>
        </m:r>
        <m:r>
          <m:t>δ(σ).</m:t>
        </m:r>
      </m:oMath>
      <w:r>
        <w:tab/>
        <w:t>（4）</w:t>
      </w:r>
    </w:p>
    <w:p>
      <w:r>
        <w:rPr>
          <w:rFonts w:ascii="Times New Roman" w:hAnsi="Times New Roman" w:eastAsia="宋体" w:cs="Times New Roman"/>
          <w:sz w:val="21"/>
        </w:rPr>
        <w:t xml:space="preserve">将非振荡背景、菲涅耳系数和传播衰减等缓慢变化因素分别并入背景项 </w:t>
      </w:r>
      <m:oMath>
        <m:r>
          <m:t>A(σ)</m:t>
        </m:r>
      </m:oMath>
      <w:r>
        <w:rPr>
          <w:rFonts w:ascii="Times New Roman" w:hAnsi="Times New Roman" w:eastAsia="宋体" w:cs="Times New Roman"/>
          <w:sz w:val="21"/>
        </w:rPr>
        <w:t xml:space="preserve"> 与振幅包络 </w:t>
      </w:r>
      <m:oMath>
        <m:r>
          <m:t>B(σ)</m:t>
        </m:r>
      </m:oMath>
      <w:r>
        <w:rPr>
          <w:rFonts w:ascii="Times New Roman" w:hAnsi="Times New Roman" w:eastAsia="宋体" w:cs="Times New Roman"/>
          <w:sz w:val="21"/>
        </w:rPr>
        <w:t>，实测反射率可表示为</w:t>
      </w:r>
    </w:p>
    <w:p>
      <w:pPr>
        <w:pStyle w:val="公式"/>
      </w:pPr>
      <m:oMath>
        <m:r>
          <m:t>R(σ)=A(σ)+B(σ)</m:t>
        </m:r>
        <m:r>
          <m:rPr>
            <m:sty m:val="p"/>
          </m:rPr>
          <m:t>cos</m:t>
        </m:r>
        <m:d>
          <m:dPr>
            <m:begChr m:val="["/>
            <m:sepChr m:val="+"/>
            <m:endChr m:val="]"/>
          </m:dPr>
          <m:e>
            <m:r>
              <m:t>4</m:t>
            </m:r>
            <m:r>
              <m:t>π</m:t>
            </m:r>
            <m:r>
              <m:t>d</m:t>
            </m:r>
            <m:r>
              <m:t>σ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(σ)−</m:t>
                </m:r>
                <m:sSubSup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e>
          <m:e>
            <m:sSub>
              <m:e>
                <m:r>
                  <m:t>ϕ</m:t>
                </m:r>
              </m:e>
              <m:sub>
                <m:r>
                  <m:t>r</m:t>
                </m:r>
              </m:sub>
            </m:sSub>
          </m:e>
        </m:d>
        <m:r>
          <m:t>+ε(σ),</m:t>
        </m:r>
      </m:oMath>
      <w:r>
        <w:tab/>
        <w:t>（5）</w:t>
      </w:r>
    </w:p>
    <w:p>
      <w:r>
        <w:rPr>
          <w:rFonts w:ascii="Times New Roman" w:hAnsi="Times New Roman" w:eastAsia="宋体" w:cs="Times New Roman"/>
          <w:sz w:val="21"/>
        </w:rPr>
        <w:t>其中，</w:t>
      </w:r>
      <m:oMath>
        <m:r>
          <m:t>ε(σ)</m:t>
        </m:r>
      </m:oMath>
      <w:r>
        <w:rPr>
          <w:rFonts w:ascii="Times New Roman" w:hAnsi="Times New Roman" w:eastAsia="宋体" w:cs="Times New Roman"/>
          <w:sz w:val="21"/>
        </w:rPr>
        <w:t xml:space="preserve"> 表示测量噪声及模型误差。</w:t>
      </w:r>
      <m:oMath>
        <m:r>
          <m:t>A(σ)</m:t>
        </m:r>
      </m:oMath>
      <w:r>
        <w:rPr>
          <w:rFonts w:ascii="Times New Roman" w:hAnsi="Times New Roman" w:eastAsia="宋体" w:cs="Times New Roman"/>
          <w:sz w:val="21"/>
        </w:rPr>
        <w:t xml:space="preserve"> 和 </w:t>
      </w:r>
      <m:oMath>
        <m:r>
          <m:t>B(σ)</m:t>
        </m:r>
      </m:oMath>
      <w:r>
        <w:rPr>
          <w:rFonts w:ascii="Times New Roman" w:hAnsi="Times New Roman" w:eastAsia="宋体" w:cs="Times New Roman"/>
          <w:sz w:val="21"/>
        </w:rPr>
        <w:t xml:space="preserve"> 影响条纹的基线与可见度，余弦项决定峰谷位置。式（5）只包含两束光，不引入多光束干涉的 Airy 形式。</w:t>
      </w:r>
    </w:p>
    <w:p>
      <w:pPr>
        <w:pStyle w:val="Heading1"/>
      </w:pPr>
      <w:r>
        <w:t>4. 等效光学波数与厚度反演</w:t>
      </w:r>
    </w:p>
    <w:p>
      <w:r>
        <w:rPr>
          <w:rFonts w:ascii="Times New Roman" w:hAnsi="Times New Roman" w:eastAsia="宋体" w:cs="Times New Roman"/>
          <w:sz w:val="21"/>
        </w:rPr>
        <w:t>若直接在原始波数轴上处理条纹，</w:t>
      </w:r>
      <m:oMath>
        <m:r>
          <m:t>n(σ)</m:t>
        </m:r>
      </m:oMath>
      <w:r>
        <w:rPr>
          <w:rFonts w:ascii="Times New Roman" w:hAnsi="Times New Roman" w:eastAsia="宋体" w:cs="Times New Roman"/>
          <w:sz w:val="21"/>
        </w:rPr>
        <w:t xml:space="preserve"> 的色散会使相邻条纹间距不再严格相等。为保留这一影响，定义等效光学波数</w:t>
      </w:r>
    </w:p>
    <w:p>
      <w:pPr>
        <w:pStyle w:val="公式"/>
      </w:pPr>
      <m:oMath>
        <m:r>
          <m:t>x(σ,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)=σ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(σ)−</m:t>
            </m:r>
            <m:sSubSup>
              <m:e>
                <m:r>
                  <m:t>n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rad>
        <m:r>
          <m:t>,</m:t>
        </m:r>
        <m:r>
          <m:t>δ=4πdx+</m:t>
        </m:r>
        <m:sSub>
          <m:e>
            <m:r>
              <m:t>ϕ</m:t>
            </m:r>
          </m:e>
          <m:sub>
            <m:r>
              <m:t>r</m:t>
            </m:r>
          </m:sub>
        </m:sSub>
        <m:r>
          <m:t>.</m:t>
        </m:r>
      </m:oMath>
      <w:r>
        <w:tab/>
        <w:t>（6）</w:t>
      </w:r>
    </w:p>
    <w:p>
      <w:r>
        <w:rPr>
          <w:rFonts w:ascii="Times New Roman" w:hAnsi="Times New Roman" w:eastAsia="宋体" w:cs="Times New Roman"/>
          <w:sz w:val="21"/>
        </w:rPr>
        <w:t xml:space="preserve">在 </w:t>
      </w:r>
      <m:oMath>
        <m:r>
          <m:t>x</m:t>
        </m:r>
      </m:oMath>
      <w:r>
        <w:rPr>
          <w:rFonts w:ascii="Times New Roman" w:hAnsi="Times New Roman" w:eastAsia="宋体" w:cs="Times New Roman"/>
          <w:sz w:val="21"/>
        </w:rPr>
        <w:t xml:space="preserve"> 坐标下，相位关于 </w:t>
      </w:r>
      <m:oMath>
        <m:r>
          <m:t>x</m:t>
        </m:r>
      </m:oMath>
      <w:r>
        <w:rPr>
          <w:rFonts w:ascii="Times New Roman" w:hAnsi="Times New Roman" w:eastAsia="宋体" w:cs="Times New Roman"/>
          <w:sz w:val="21"/>
        </w:rPr>
        <w:t xml:space="preserve"> 呈线性变化，理想条纹因而等周期分布。设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 和 </w:t>
      </w:r>
      <m:oMath>
        <m:sSub>
          <m:e>
            <m:r>
              <m:t>x</m:t>
            </m:r>
          </m:e>
          <m:sub>
            <m:r>
              <m:t>m+1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 为相邻两个同类型极值的位置。无论选择峰—峰还是谷—谷，其相位差均为 </w:t>
      </w:r>
      <m:oMath>
        <m:r>
          <m:t>2π</m:t>
        </m:r>
      </m:oMath>
      <w:r>
        <w:rPr>
          <w:rFonts w:ascii="Times New Roman" w:hAnsi="Times New Roman" w:eastAsia="宋体" w:cs="Times New Roman"/>
          <w:sz w:val="21"/>
        </w:rPr>
        <w:t>，故</w:t>
      </w:r>
    </w:p>
    <w:p>
      <w:pPr>
        <w:pStyle w:val="公式"/>
      </w:pPr>
      <m:oMath>
        <m:r>
          <m:t>d=</m:t>
        </m:r>
        <m:f>
          <m:fPr>
            <m:type m:val="bar"/>
          </m:fPr>
          <m:num>
            <m:r>
              <m:t>1</m:t>
            </m:r>
          </m:num>
          <m:den>
            <m:r>
              <m:t>2(</m:t>
            </m:r>
            <m:sSub>
              <m:e>
                <m:r>
                  <m:t>x</m:t>
                </m:r>
              </m:e>
              <m:sub>
                <m:r>
                  <m:t>m+1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  <m:r>
              <m:t>)</m:t>
            </m:r>
          </m:den>
        </m:f>
      </m:oMath>
      <w:r>
        <w:br/>
      </w:r>
      <m:oMath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d>
              <m:dPr>
                <m:begChr m:val="["/>
                <m:sepChr m:val="−"/>
                <m:endChr m:val="]"/>
              </m:dPr>
              <m:e>
                <m:sSub>
                  <m:e>
                    <m:r>
                      <m:t>σ</m:t>
                    </m:r>
                  </m:e>
                  <m:sub>
                    <m:r>
                      <m:t>m+1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(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m+1</m:t>
                        </m:r>
                      </m:sub>
                    </m:sSub>
                    <m:r>
                      <m:t>)−</m:t>
                    </m:r>
                    <m:sSubSup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rad>
              </m:e>
              <m:e>
                <m:sSub>
                  <m:e>
                    <m:r>
                      <m:t>σ</m:t>
                    </m:r>
                  </m:e>
                  <m:sub>
                    <m:r>
                      <m:t>m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(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)−</m:t>
                    </m:r>
                    <m:sSubSup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rad>
              </m:e>
            </m:d>
          </m:den>
        </m:f>
      </m:oMath>
      <w:r>
        <w:tab/>
        <w:t>（7）</w:t>
      </w:r>
    </w:p>
    <w:p>
      <w:r>
        <w:rPr>
          <w:rFonts w:ascii="Times New Roman" w:hAnsi="Times New Roman" w:eastAsia="宋体" w:cs="Times New Roman"/>
          <w:sz w:val="21"/>
        </w:rPr>
        <w:t xml:space="preserve">相邻峰与谷只相差 </w:t>
      </w:r>
      <m:oMath>
        <m:r>
          <m:t>π</m:t>
        </m:r>
      </m:oMath>
      <w:r>
        <w:rPr>
          <w:rFonts w:ascii="Times New Roman" w:hAnsi="Times New Roman" w:eastAsia="宋体" w:cs="Times New Roman"/>
          <w:sz w:val="21"/>
        </w:rPr>
        <w:t xml:space="preserve">，不能直接套用式（7），否则会引入因子 2 的错误。为减小单个极值定位误差，可跨越 </w:t>
      </w:r>
      <m:oMath>
        <m:r>
          <m:t>K</m:t>
        </m:r>
      </m:oMath>
      <w:r>
        <w:rPr>
          <w:rFonts w:ascii="Times New Roman" w:hAnsi="Times New Roman" w:eastAsia="宋体" w:cs="Times New Roman"/>
          <w:sz w:val="21"/>
        </w:rPr>
        <w:t xml:space="preserve"> 个完整周期，或对连续同类极值统一回归：</w:t>
      </w:r>
    </w:p>
    <w:p>
      <w:pPr>
        <w:pStyle w:val="公式"/>
      </w:pPr>
      <m:oMath>
        <m:r>
          <m:t>d=</m:t>
        </m:r>
        <m:f>
          <m:fPr>
            <m:type m:val="bar"/>
          </m:fPr>
          <m:num>
            <m:r>
              <m:t>K</m:t>
            </m:r>
          </m:num>
          <m:den>
            <m:r>
              <m:t>2(</m:t>
            </m:r>
            <m:sSub>
              <m:e>
                <m:r>
                  <m:t>x</m:t>
                </m:r>
              </m:e>
              <m:sub>
                <m:r>
                  <m:t>m+K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  <m:r>
              <m:t>)</m:t>
            </m:r>
          </m:den>
        </m:f>
        <m: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=α+βi,</m:t>
        </m:r>
        <m:r>
          <m:t>d=</m:t>
        </m:r>
        <m:f>
          <m:fPr>
            <m:type m:val="bar"/>
          </m:fPr>
          <m:num>
            <m:r>
              <m:t>1</m:t>
            </m:r>
          </m:num>
          <m:den>
            <m:r>
              <m:t>2β</m:t>
            </m:r>
          </m:den>
        </m:f>
        <m:r>
          <m:t>.</m:t>
        </m:r>
      </m:oMath>
      <w:r>
        <w:tab/>
        <w:t>（8）</w:t>
      </w:r>
    </w:p>
    <w:p>
      <w:r>
        <w:rPr>
          <w:rFonts w:ascii="Times New Roman" w:hAnsi="Times New Roman" w:eastAsia="宋体" w:cs="Times New Roman"/>
          <w:sz w:val="21"/>
        </w:rPr>
        <w:t>这里，</w:t>
      </w:r>
      <m:oMath>
        <m:r>
          <m:t>i</m:t>
        </m:r>
      </m:oMath>
      <w:r>
        <w:rPr>
          <w:rFonts w:ascii="Times New Roman" w:hAnsi="Times New Roman" w:eastAsia="宋体" w:cs="Times New Roman"/>
          <w:sz w:val="21"/>
        </w:rPr>
        <w:t xml:space="preserve"> 为同类极值的顺序编号，截距 </w:t>
      </w:r>
      <m:oMath>
        <m:r>
          <m:t>α</m:t>
        </m:r>
      </m:oMath>
      <w:r>
        <w:rPr>
          <w:rFonts w:ascii="Times New Roman" w:hAnsi="Times New Roman" w:eastAsia="宋体" w:cs="Times New Roman"/>
          <w:sz w:val="21"/>
        </w:rPr>
        <w:t xml:space="preserve"> 吸收未知初始级次和常数反射相位，因此不必预先判断绝对干涉级次。后续算法只需依据给定的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 和折射率函数将 </w:t>
      </w:r>
      <m:oMath>
        <m:r>
          <m:t>σ</m:t>
        </m:r>
      </m:oMath>
      <w:r>
        <w:rPr>
          <w:rFonts w:ascii="Times New Roman" w:hAnsi="Times New Roman" w:eastAsia="宋体" w:cs="Times New Roman"/>
          <w:sz w:val="21"/>
        </w:rPr>
        <w:t xml:space="preserve"> 转换为 </w:t>
      </w:r>
      <m:oMath>
        <m:r>
          <m:t>x</m:t>
        </m:r>
      </m:oMath>
      <w:r>
        <w:rPr>
          <w:rFonts w:ascii="Times New Roman" w:hAnsi="Times New Roman" w:eastAsia="宋体" w:cs="Times New Roman"/>
          <w:sz w:val="21"/>
        </w:rPr>
        <w:t>，再利用同类极值的周期差或回归斜率求取厚度。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033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理论干涉条纹关系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3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外延层相对厚度与干涉条纹疏密关系</w:t>
      </w:r>
    </w:p>
    <w:p>
      <w:r>
        <w:rPr>
          <w:rFonts w:ascii="Times New Roman" w:hAnsi="Times New Roman" w:eastAsia="宋体" w:cs="Times New Roman"/>
          <w:sz w:val="21"/>
        </w:rPr>
        <w:t xml:space="preserve">图 2 使用无量纲变量展示式（6）的周期关系，仅用于说明相对厚度越大，单位 </w:t>
      </w:r>
      <m:oMath>
        <m:r>
          <m:t>x</m:t>
        </m:r>
      </m:oMath>
      <w:r>
        <w:rPr>
          <w:rFonts w:ascii="Times New Roman" w:hAnsi="Times New Roman" w:eastAsia="宋体" w:cs="Times New Roman"/>
          <w:sz w:val="21"/>
        </w:rPr>
        <w:t xml:space="preserve"> 区间内包含的条纹越多，不代表附件晶圆的实际厚度。</w:t>
      </w:r>
    </w:p>
    <w:p>
      <w:r>
        <w:rPr>
          <w:rFonts w:ascii="Times New Roman" w:hAnsi="Times New Roman" w:eastAsia="宋体" w:cs="Times New Roman"/>
          <w:sz w:val="21"/>
        </w:rPr>
        <w:t xml:space="preserve">当研究波段较窄、折射率变化可以忽略时，可令 </w:t>
      </w:r>
      <m:oMath>
        <m:r>
          <m:t>n(σ)≈n</m:t>
        </m:r>
      </m:oMath>
      <w:r>
        <w:rPr>
          <w:rFonts w:ascii="Times New Roman" w:hAnsi="Times New Roman" w:eastAsia="宋体" w:cs="Times New Roman"/>
          <w:sz w:val="21"/>
        </w:rPr>
        <w:t xml:space="preserve">。若相邻同类极值在原始波数轴上的间隔为 </w:t>
      </w:r>
      <m:oMath>
        <m:r>
          <m:t>Δσ</m:t>
        </m:r>
      </m:oMath>
      <w:r>
        <w:rPr>
          <w:rFonts w:ascii="Times New Roman" w:hAnsi="Times New Roman" w:eastAsia="宋体" w:cs="Times New Roman"/>
          <w:sz w:val="21"/>
        </w:rPr>
        <w:t>，则有</w:t>
      </w:r>
    </w:p>
    <w:p>
      <w:pPr>
        <w:pStyle w:val="公式"/>
      </w:pPr>
      <m:oMath>
        <m:r>
          <m:t>d=</m:t>
        </m:r>
        <m:f>
          <m:fPr>
            <m:type m:val="bar"/>
          </m:fPr>
          <m:num>
            <m:r>
              <m:t>1</m:t>
            </m:r>
          </m:num>
          <m:den>
            <m:r>
              <m:t>2Δσ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sSubSup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den>
        </m:f>
        <m:r>
          <m:t>.</m:t>
        </m:r>
      </m:oMath>
      <w:r>
        <w:tab/>
        <w:t>（9）</w:t>
      </w:r>
    </w:p>
    <w:p>
      <w:r>
        <w:rPr>
          <w:rFonts w:ascii="Times New Roman" w:hAnsi="Times New Roman" w:eastAsia="宋体" w:cs="Times New Roman"/>
          <w:sz w:val="21"/>
        </w:rPr>
        <w:t xml:space="preserve">若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t>=1</m:t>
        </m:r>
      </m:oMath>
      <w:r>
        <w:rPr>
          <w:rFonts w:ascii="Times New Roman" w:hAnsi="Times New Roman" w:eastAsia="宋体" w:cs="Times New Roman"/>
          <w:sz w:val="21"/>
        </w:rPr>
        <w:t xml:space="preserve"> 且 </w:t>
      </w:r>
      <m:oMath>
        <m:r>
          <m:t>Δσ</m:t>
        </m:r>
      </m:oMath>
      <w:r>
        <w:rPr>
          <w:rFonts w:ascii="Times New Roman" w:hAnsi="Times New Roman" w:eastAsia="宋体" w:cs="Times New Roman"/>
          <w:sz w:val="21"/>
        </w:rPr>
        <w:t xml:space="preserve"> 的单位为 </w:t>
      </w:r>
      <m:oMath>
        <m:sSup>
          <m:e>
            <m:r>
              <m:rPr>
                <m:sty m:val="p"/>
              </m:rPr>
              <m:t>cm</m:t>
            </m:r>
          </m:e>
          <m:sup>
            <m:r>
              <m:t>−1</m:t>
            </m:r>
          </m:sup>
        </m:sSup>
      </m:oMath>
      <w:r>
        <w:rPr>
          <w:rFonts w:ascii="Times New Roman" w:hAnsi="Times New Roman" w:eastAsia="宋体" w:cs="Times New Roman"/>
          <w:sz w:val="21"/>
        </w:rPr>
        <w:t xml:space="preserve">，式（9）所得 </w:t>
      </w:r>
      <m:oMath>
        <m:r>
          <m:t>d</m:t>
        </m:r>
      </m:oMath>
      <w:r>
        <w:rPr>
          <w:rFonts w:ascii="Times New Roman" w:hAnsi="Times New Roman" w:eastAsia="宋体" w:cs="Times New Roman"/>
          <w:sz w:val="21"/>
        </w:rPr>
        <w:t xml:space="preserve"> 的单位为 cm；换算成 </w:t>
      </w:r>
      <m:oMath>
        <m:r>
          <m:t>μm</m:t>
        </m:r>
      </m:oMath>
      <w:r>
        <w:rPr>
          <w:rFonts w:ascii="Times New Roman" w:hAnsi="Times New Roman" w:eastAsia="宋体" w:cs="Times New Roman"/>
          <w:sz w:val="21"/>
        </w:rPr>
        <w:t xml:space="preserve"> 时应乘以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宋体" w:cs="Times New Roman"/>
          <w:sz w:val="21"/>
        </w:rPr>
        <w:t xml:space="preserve">。这一常折射率形式适合窄波段下的机理说明，实际反演仍应优先采用包含 </w:t>
      </w:r>
      <m:oMath>
        <m:r>
          <m:t>n(σ)</m:t>
        </m:r>
      </m:oMath>
      <w:r>
        <w:rPr>
          <w:rFonts w:ascii="Times New Roman" w:hAnsi="Times New Roman" w:eastAsia="宋体" w:cs="Times New Roman"/>
          <w:sz w:val="21"/>
        </w:rPr>
        <w:t xml:space="preserve"> 的式（7）。</w:t>
      </w:r>
    </w:p>
    <w:p>
      <w:pPr>
        <w:pStyle w:val="Heading1"/>
      </w:pPr>
      <w:r>
        <w:t>5. 色散处理与适用边界</w:t>
      </w:r>
    </w:p>
    <w:p>
      <w:r>
        <w:rPr>
          <w:rFonts w:ascii="Times New Roman" w:hAnsi="Times New Roman" w:eastAsia="宋体" w:cs="Times New Roman"/>
          <w:sz w:val="21"/>
        </w:rPr>
        <w:t>折射率函数需要由材料光学数据给定。在透明波段内，可采用 Cauchy 或 Sellmeier 形式作为色散接口：</w:t>
      </w:r>
    </w:p>
    <w:p>
      <w:pPr>
        <w:pStyle w:val="公式"/>
      </w:pPr>
      <m:oMath>
        <m:r>
          <m:t>n(λ)=a+</m:t>
        </m:r>
        <m:f>
          <m:fPr>
            <m:type m:val="bar"/>
          </m:fPr>
          <m:num>
            <m:r>
              <m:t>b</m:t>
            </m:r>
          </m:num>
          <m:den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f>
          <m:fPr>
            <m:type m:val="bar"/>
          </m:fPr>
          <m:num>
            <m:r>
              <m:t>c</m:t>
            </m:r>
          </m:num>
          <m:den>
            <m:sSup>
              <m:e>
                <m:r>
                  <m:t>λ</m:t>
                </m:r>
              </m:e>
              <m:sup>
                <m:r>
                  <m:t>4</m:t>
                </m:r>
              </m:sup>
            </m:sSup>
          </m:den>
        </m:f>
        <m: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(λ)=1+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  <m:sSup>
                  <m:e>
                    <m:r>
                      <m:t>λ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λ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j</m:t>
                    </m:r>
                  </m:sub>
                </m:sSub>
              </m:den>
            </m:f>
          </m:e>
        </m:nary>
        <m:r>
          <m:t>.</m:t>
        </m:r>
      </m:oMath>
      <w:r>
        <w:tab/>
        <w:t>（10）</w:t>
      </w:r>
    </w:p>
    <w:p>
      <w:r>
        <w:rPr>
          <w:rFonts w:ascii="Times New Roman" w:hAnsi="Times New Roman" w:eastAsia="宋体" w:cs="Times New Roman"/>
          <w:sz w:val="21"/>
        </w:rPr>
        <w:t xml:space="preserve">若掺杂载流子对红外响应的影响不可忽略，还需在介电常数中加入 Drude 修正。相应参数应由可靠的材料数据或后续联合估计确定，本问不预设其具体取值。特别地，当 </w:t>
      </w:r>
      <m:oMath>
        <m:r>
          <m:t>n(σ)</m:t>
        </m:r>
      </m:oMath>
      <w:r>
        <w:rPr>
          <w:rFonts w:ascii="Times New Roman" w:hAnsi="Times New Roman" w:eastAsia="宋体" w:cs="Times New Roman"/>
          <w:sz w:val="21"/>
        </w:rPr>
        <w:t xml:space="preserve"> 完全未知时，单一入射角下的条纹通常只能确定光学厚度，无法唯一分离折射率与几何厚度。</w:t>
      </w:r>
    </w:p>
    <w:p>
      <w:r>
        <w:rPr>
          <w:rFonts w:ascii="Times New Roman" w:hAnsi="Times New Roman" w:eastAsia="宋体" w:cs="Times New Roman"/>
          <w:sz w:val="21"/>
        </w:rPr>
        <w:t xml:space="preserve">该模型适用于外延层表面近似平行、测量区域厚度均匀、两束光具有足够相干性且后续反射较弱的情形。折射率模型、掺杂浓度、入射角和波数轴的误差都会改变等效光学波数；背景漂移和噪声会影响极值位置；厚度不均匀、表面粗糙度、吸收与散射则可能削弱或展宽条纹。若 </w:t>
      </w:r>
      <m:oMath>
        <m:sSub>
          <m:e>
            <m:r>
              <m:t>ϕ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 随波数明显变化，或后续多次反射不能忽略，两光束模型会产生系统偏差。多光束干涉的成立条件及其修正属于问题三，本问不作展开。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 w:cs="Times New Roman"/>
        <w:color w:val="646464"/>
        <w:sz w:val="17"/>
      </w:rPr>
      <w:t>问题一  模型的建立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ind w:firstLine="420"/>
      <w:jc w:val="both"/>
    </w:pPr>
    <w:rPr>
      <w:rFonts w:ascii="Times New Roman" w:hAnsi="Times New Roman" w:eastAsia="宋体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firstLine="0"/>
      <w:outlineLvl w:val="0"/>
    </w:pPr>
    <w:rPr>
      <w:rFonts w:asciiTheme="majorHAnsi" w:eastAsiaTheme="majorEastAsia" w:hAnsiTheme="majorHAnsi" w:cstheme="majorBidi" w:ascii="Arial" w:hAnsi="Arial" w:eastAsia="黑体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Arial" w:hAnsi="Arial" w:eastAsia="黑体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黑体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ind w:firstLine="0"/>
      <w:jc w:val="center"/>
    </w:pPr>
    <w:rPr>
      <w:rFonts w:ascii="Times New Roman" w:hAnsi="Times New Roman" w:eastAsia="宋体" w:cs="Times New Roman"/>
      <w:b/>
      <w:bCs/>
      <w:color w:val="46464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式">
    <w:name w:val="公式"/>
    <w:pPr>
      <w:keepLines/>
      <w:tabs>
        <w:tab w:pos="9360" w:val="right"/>
      </w:tabs>
      <w:spacing w:before="80" w:after="120"/>
      <w:ind w:firstLine="0"/>
      <w:jc w:val="center"/>
    </w:pPr>
    <w:rPr>
      <w:rFonts w:ascii="Cambria Math" w:hAnsi="Cambria Math" w:eastAsia="Cambria Math" w:cs="Cambria Math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 模型的建立</dc:title>
  <dc:subject>仅考虑一次反射和透射的碳化硅外延层厚度测量模型</dc:subject>
  <dc:creator>数学建模论文</dc:creator>
  <cp:keywords>两光束干涉, 外延层, 等效光学波数, 厚度反演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