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宋体" w:cs="Times New Roman"/>
          <w:b/>
          <w:color w:val="000000"/>
          <w:sz w:val="36"/>
        </w:rPr>
        <w:t>问题二 模型的求解</w:t>
      </w:r>
    </w:p>
    <w:p>
      <w:pPr>
        <w:pStyle w:val="Heading2"/>
      </w:pPr>
      <w:r>
        <w:rPr>
          <w:rFonts w:ascii="Times New Roman" w:hAnsi="Times New Roman" w:eastAsia="宋体" w:cs="Times New Roman"/>
          <w:b/>
          <w:color w:val="000000"/>
          <w:sz w:val="28"/>
        </w:rPr>
        <w:t>1. 数据处理与波段确定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附件 1、附件 2 均包含 7469 个观测点，波数由 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399.6747 cm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递增至 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4000.122 cm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，平均采样间隔约为 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0.4821 cm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。两份数据的波数网格完全一致，且不存在缺失值、重复波数、非数值或无穷值。两组光谱首行的零反射率均被判定为边界异常点并排除。附件 2 有 262 个反射率超过 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100%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的观测，计算中保留其原值，只作仪器归一化异常标记；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800∼1000 cm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的强反射、强色散区不参与厚度估计。保留而不截断异常反射率，避免在 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100%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处人为制造平顶和附加极值；原始附件始终以只读方式载入。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4"/>
        </w:rPr>
        <w:t>两组光谱使用同一套预处理参数：Savitzky–Golay 窗口长度为 29、多项式阶数为 3，背景窗口和包络窗口分别为 801 和 401。统一参数可避免因角度不同而引入额外的处理差异。平滑残差围绕零值波动，去背景后的条纹仍保持连续峰谷，说明预处理主要削弱高频噪声和缓变基线，没有改变用于厚度反演的主周期结构。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4"/>
        </w:rPr>
        <w:t>在 Sellmeier 模型有效范围内对候选波段评分后，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2100∼3800 cm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的综合评分最高，为 0.9203，故选作最终分析区间。该区间对应真空波长约 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2.632∼4.762 μm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，没有超出所用色散公式的文献适用范围。评分次高的 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2100∼3600 cm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区间为 0.9172，但其可用谷值数量较少；继续扩展至 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4000 cm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又会降低多方法一致性。选定区间在条纹数量和边界稳定性之间较为均衡，两角度均检出 6 个峰值和 5 个谷值。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4"/>
        </w:rPr>
        <w:t>该波段内，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10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与 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15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光谱的预处理信噪比分别为 21.397 和 17.466；两组归一化条纹均保持连续，FFT 给出的主周期均约为 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242.790 cm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。相位展开后，两角度的相位单调比例均为 1，相位线性拟合的 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R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分别达到 0.999948 和 0.999893。这些诊断量共同支持在该区间内用相位斜率反演厚度，但不用于替代后续的不确定性检验。</w:t>
      </w:r>
    </w:p>
    <w:p>
      <w:pPr>
        <w:pStyle w:val="Heading2"/>
      </w:pPr>
      <w:r>
        <w:rPr>
          <w:rFonts w:ascii="Times New Roman" w:hAnsi="Times New Roman" w:eastAsia="宋体" w:cs="Times New Roman"/>
          <w:b/>
          <w:color w:val="000000"/>
          <w:sz w:val="28"/>
        </w:rPr>
        <w:t>2. 单角度与双角度厚度结果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4"/>
        </w:rPr>
        <w:t>峰值、谷值和希尔伯特相位法的估计结果列于表 1。表中区间均由 500 次分块 Bootstrap 得到，峰谷序列与连续相位残差均按区块重采样，没有打乱相邻光谱点。</w:t>
      </w:r>
    </w:p>
    <w:p>
      <w:pPr>
        <w:pStyle w:val="TableCaption"/>
      </w:pPr>
      <w:r>
        <w:rPr>
          <w:rFonts w:ascii="Times New Roman" w:hAnsi="Times New Roman" w:eastAsia="宋体" w:cs="Times New Roman"/>
          <w:b/>
          <w:color w:val="000000"/>
          <w:sz w:val="21"/>
        </w:rPr>
        <w:t>表 1  不同角度和估计方法的厚度结果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12" w:space="0" w:color="000000"/>
          <w:bottom w:val="single" w:sz="12" w:space="0" w:color="000000"/>
          <w:left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900"/>
        <w:gridCol w:w="1250"/>
        <w:gridCol w:w="1250"/>
        <w:gridCol w:w="1800"/>
        <w:gridCol w:w="2400"/>
        <w:gridCol w:w="1400"/>
      </w:tblGrid>
      <w:tr>
        <w:trPr>
          <w:tblHeader w:val="true"/>
        </w:trPr>
        <w:tc>
          <w:tcPr>
            <w:tcW w:type="dxa" w:w="900"/>
            <w:tcBorders>
              <w:bottom w:val="single" w:sz="8" w:space="0" w:color="000000"/>
            </w:tcBorders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入射角</w:t>
            </w:r>
          </w:p>
        </w:tc>
        <w:tc>
          <w:tcPr>
            <w:tcW w:type="dxa" w:w="1250"/>
            <w:tcBorders>
              <w:bottom w:val="single" w:sz="8" w:space="0" w:color="000000"/>
            </w:tcBorders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方法</w:t>
            </w:r>
          </w:p>
        </w:tc>
        <w:tc>
          <w:tcPr>
            <w:tcW w:type="dxa" w:w="1250"/>
            <w:tcBorders>
              <w:bottom w:val="single" w:sz="8" w:space="0" w:color="000000"/>
            </w:tcBorders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厚度/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μm</w:t>
            </w:r>
          </w:p>
        </w:tc>
        <w:tc>
          <w:tcPr>
            <w:tcW w:type="dxa" w:w="1800"/>
            <w:tcBorders>
              <w:bottom w:val="single" w:sz="8" w:space="0" w:color="000000"/>
            </w:tcBorders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Bootstrap 标准误差/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μm</w:t>
            </w:r>
          </w:p>
        </w:tc>
        <w:tc>
          <w:tcPr>
            <w:tcW w:type="dxa" w:w="2400"/>
            <w:tcBorders>
              <w:bottom w:val="single" w:sz="8" w:space="0" w:color="000000"/>
            </w:tcBorders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95% 置信区间/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μm</w:t>
            </w:r>
          </w:p>
        </w:tc>
        <w:tc>
          <w:tcPr>
            <w:tcW w:type="dxa" w:w="1400"/>
            <w:tcBorders>
              <w:bottom w:val="single" w:sz="8" w:space="0" w:color="000000"/>
            </w:tcBorders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拟合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vertAlign w:val="superscript"/>
              </w:rPr>
              <w:t>2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10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  <w:vertAlign w:val="superscript"/>
              </w:rPr>
              <w:t>°</w:t>
            </w:r>
          </w:p>
        </w:tc>
        <w:tc>
          <w:tcPr>
            <w:tcW w:type="dxa" w:w="12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峰值法</w:t>
            </w:r>
          </w:p>
        </w:tc>
        <w:tc>
          <w:tcPr>
            <w:tcW w:type="dxa" w:w="12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7.4170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0.0407</w:t>
            </w:r>
          </w:p>
        </w:tc>
        <w:tc>
          <w:tcPr>
            <w:tcW w:type="dxa" w:w="24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[7.3489, 7.5030]</w:t>
            </w:r>
          </w:p>
        </w:tc>
        <w:tc>
          <w:tcPr>
            <w:tcW w:type="dxa" w:w="14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0.999804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10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  <w:vertAlign w:val="superscript"/>
              </w:rPr>
              <w:t>°</w:t>
            </w:r>
          </w:p>
        </w:tc>
        <w:tc>
          <w:tcPr>
            <w:tcW w:type="dxa" w:w="12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谷值法</w:t>
            </w:r>
          </w:p>
        </w:tc>
        <w:tc>
          <w:tcPr>
            <w:tcW w:type="dxa" w:w="12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7.4861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0.0429</w:t>
            </w:r>
          </w:p>
        </w:tc>
        <w:tc>
          <w:tcPr>
            <w:tcW w:type="dxa" w:w="24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[7.4129, 7.5776]</w:t>
            </w:r>
          </w:p>
        </w:tc>
        <w:tc>
          <w:tcPr>
            <w:tcW w:type="dxa" w:w="14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0.999822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10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  <w:vertAlign w:val="superscript"/>
              </w:rPr>
              <w:t>°</w:t>
            </w:r>
          </w:p>
        </w:tc>
        <w:tc>
          <w:tcPr>
            <w:tcW w:type="dxa" w:w="12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希尔伯特相位法</w:t>
            </w:r>
          </w:p>
        </w:tc>
        <w:tc>
          <w:tcPr>
            <w:tcW w:type="dxa" w:w="12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7.4702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0.0137</w:t>
            </w:r>
          </w:p>
        </w:tc>
        <w:tc>
          <w:tcPr>
            <w:tcW w:type="dxa" w:w="24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[7.4431, 7.4969]</w:t>
            </w:r>
          </w:p>
        </w:tc>
        <w:tc>
          <w:tcPr>
            <w:tcW w:type="dxa" w:w="14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0.999948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15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  <w:vertAlign w:val="superscript"/>
              </w:rPr>
              <w:t>°</w:t>
            </w:r>
          </w:p>
        </w:tc>
        <w:tc>
          <w:tcPr>
            <w:tcW w:type="dxa" w:w="12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峰值法</w:t>
            </w:r>
          </w:p>
        </w:tc>
        <w:tc>
          <w:tcPr>
            <w:tcW w:type="dxa" w:w="12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7.3308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0.0726</w:t>
            </w:r>
          </w:p>
        </w:tc>
        <w:tc>
          <w:tcPr>
            <w:tcW w:type="dxa" w:w="24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[7.1964, 7.4851]</w:t>
            </w:r>
          </w:p>
        </w:tc>
        <w:tc>
          <w:tcPr>
            <w:tcW w:type="dxa" w:w="14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0.999253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15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  <w:vertAlign w:val="superscript"/>
              </w:rPr>
              <w:t>°</w:t>
            </w:r>
          </w:p>
        </w:tc>
        <w:tc>
          <w:tcPr>
            <w:tcW w:type="dxa" w:w="12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谷值法</w:t>
            </w:r>
          </w:p>
        </w:tc>
        <w:tc>
          <w:tcPr>
            <w:tcW w:type="dxa" w:w="12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7.4521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0.0598</w:t>
            </w:r>
          </w:p>
        </w:tc>
        <w:tc>
          <w:tcPr>
            <w:tcW w:type="dxa" w:w="24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[7.3435, 7.5661]</w:t>
            </w:r>
          </w:p>
        </w:tc>
        <w:tc>
          <w:tcPr>
            <w:tcW w:type="dxa" w:w="14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0.999560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15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  <w:vertAlign w:val="superscript"/>
              </w:rPr>
              <w:t>°</w:t>
            </w:r>
          </w:p>
        </w:tc>
        <w:tc>
          <w:tcPr>
            <w:tcW w:type="dxa" w:w="12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希尔伯特相位法</w:t>
            </w:r>
          </w:p>
        </w:tc>
        <w:tc>
          <w:tcPr>
            <w:tcW w:type="dxa" w:w="12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7.4666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0.0145</w:t>
            </w:r>
          </w:p>
        </w:tc>
        <w:tc>
          <w:tcPr>
            <w:tcW w:type="dxa" w:w="24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[7.4375, 7.4923]</w:t>
            </w:r>
          </w:p>
        </w:tc>
        <w:tc>
          <w:tcPr>
            <w:tcW w:type="dxa" w:w="14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0.999893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双角度</w:t>
            </w:r>
          </w:p>
        </w:tc>
        <w:tc>
          <w:tcPr>
            <w:tcW w:type="dxa" w:w="12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联合相位法</w:t>
            </w:r>
          </w:p>
        </w:tc>
        <w:tc>
          <w:tcPr>
            <w:tcW w:type="dxa" w:w="125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7.4686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0.0099</w:t>
            </w:r>
          </w:p>
        </w:tc>
        <w:tc>
          <w:tcPr>
            <w:tcW w:type="dxa" w:w="24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[7.4495, 7.4865]</w:t>
            </w:r>
          </w:p>
        </w:tc>
        <w:tc>
          <w:tcPr>
            <w:tcW w:type="dxa" w:w="14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0.999920</w:t>
            </w:r>
          </w:p>
        </w:tc>
      </w:tr>
    </w:tbl>
    <w:p>
      <w:pPr>
        <w:spacing w:after="0"/>
      </w:pPr>
    </w:p>
    <w:p>
      <w:pPr/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峰值法和谷值法每组仅使用 5～6 个同类极值，局部峰位偏差会直接改变回归斜率，因此其标准误差和置信区间明显大于相位法。六个单角度结果均落在 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7.3308∼7.4861 μm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内，各 Bootstrap 区间相互重叠，没有出现彼此排斥的估计。偏差较大的 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15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峰值法同时具有最大的标准误差，说明它更可能受有限极值和局部峰形畸变影响，不宜单独作为最终口径。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希尔伯特方法利用有效波段内 2520 个相位点，所得两组单角度厚度分别为 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7.4702 μm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和 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7.4666 μm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，相对差异 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E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θ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为 0.0478%。该差异远小于各自的 Bootstrap 不确定性，说明两角度结果与“同一晶圆具有相同厚度”的物理约束相容，也表明角度修正没有引入可辨识的厚度分裂。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黑体" w:cs="Times New Roman"/>
          <w:b/>
          <w:color w:val="C00000"/>
          <w:sz w:val="22"/>
        </w:rPr>
        <w:t>插入图：Q2/图4_不同方法厚度结果与不确定性比较.png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图 4 将六种单角度估计与联合估计置于同一尺度下。峰谷法的误差棒较长，其中 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15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峰值法受极值数量和局部定位误差影响最明显；两组相位法及联合结果集中在同一区域。共享斜率后，联合估计的 Bootstrap 标准误差降至 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0.0099 μm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，95% 区间宽度为 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0.0370 μm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，较两个单角度相位区间缩窄约三成。因此采用 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d=7.4686 μm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作为推荐点估计。</w:t>
      </w:r>
    </w:p>
    <w:p>
      <w:pPr>
        <w:pStyle w:val="Heading2"/>
      </w:pPr>
      <w:r>
        <w:rPr>
          <w:rFonts w:ascii="Times New Roman" w:hAnsi="Times New Roman" w:eastAsia="宋体" w:cs="Times New Roman"/>
          <w:b/>
          <w:color w:val="000000"/>
          <w:sz w:val="28"/>
        </w:rPr>
        <w:t>3. 不确定性与可靠性分析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统计 Bootstrap 给出的联合估计 95% 置信区间为 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[7.4495,7.4865] μm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，重采样均值为 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7.4682 μm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，与原始联合点估计仅相差 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0.0004 μm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，未见明显的重采样偏移。该区间主要反映相位残差和有限光谱长度引起的随机波动，不能覆盖折射率模型、入射角标定等系统误差。为此，对主要参数进行扰动，联合厚度的相对变化汇总于表 2。</w:t>
      </w:r>
    </w:p>
    <w:p>
      <w:pPr>
        <w:pStyle w:val="TableCaption"/>
      </w:pPr>
      <w:r>
        <w:rPr>
          <w:rFonts w:ascii="Times New Roman" w:hAnsi="Times New Roman" w:eastAsia="宋体" w:cs="Times New Roman"/>
          <w:b/>
          <w:color w:val="000000"/>
          <w:sz w:val="21"/>
        </w:rPr>
        <w:t>表 2  双角度联合估计的参数敏感性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12" w:space="0" w:color="000000"/>
          <w:bottom w:val="single" w:sz="12" w:space="0" w:color="000000"/>
          <w:left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2200"/>
        <w:gridCol w:w="2600"/>
        <w:gridCol w:w="4200"/>
      </w:tblGrid>
      <w:tr>
        <w:trPr>
          <w:tblHeader w:val="true"/>
        </w:trPr>
        <w:tc>
          <w:tcPr>
            <w:tcW w:type="dxa" w:w="2200"/>
            <w:tcBorders>
              <w:bottom w:val="single" w:sz="8" w:space="0" w:color="000000"/>
            </w:tcBorders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扰动因素</w:t>
            </w:r>
          </w:p>
        </w:tc>
        <w:tc>
          <w:tcPr>
            <w:tcW w:type="dxa" w:w="2600"/>
            <w:tcBorders>
              <w:bottom w:val="single" w:sz="8" w:space="0" w:color="000000"/>
            </w:tcBorders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扰动范围</w:t>
            </w:r>
          </w:p>
        </w:tc>
        <w:tc>
          <w:tcPr>
            <w:tcW w:type="dxa" w:w="4200"/>
            <w:tcBorders>
              <w:bottom w:val="single" w:sz="8" w:space="0" w:color="000000"/>
            </w:tcBorders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联合厚度相对变化范围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有效波段端点</w:t>
            </w:r>
          </w:p>
        </w:tc>
        <w:tc>
          <w:tcPr>
            <w:tcW w:type="dxa" w:w="2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 xml:space="preserve">起点或终点 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±100 cm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  <w:vertAlign w:val="superscript"/>
              </w:rPr>
              <w:t>-1</w:t>
            </w:r>
          </w:p>
        </w:tc>
        <w:tc>
          <w:tcPr>
            <w:tcW w:type="dxa" w:w="4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-0.2834%∼0.0610%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基线窗口</w:t>
            </w:r>
          </w:p>
        </w:tc>
        <w:tc>
          <w:tcPr>
            <w:tcW w:type="dxa" w:w="2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601～1001</w:t>
            </w:r>
          </w:p>
        </w:tc>
        <w:tc>
          <w:tcPr>
            <w:tcW w:type="dxa" w:w="4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-0.1622%∼0.1552%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折射率尺度</w:t>
            </w:r>
          </w:p>
        </w:tc>
        <w:tc>
          <w:tcPr>
            <w:tcW w:type="dxa" w:w="2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±0.5%</w:t>
            </w:r>
          </w:p>
        </w:tc>
        <w:tc>
          <w:tcPr>
            <w:tcW w:type="dxa" w:w="4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-0.5009%∼0.5059%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两角度同步扰动</w:t>
            </w:r>
          </w:p>
        </w:tc>
        <w:tc>
          <w:tcPr>
            <w:tcW w:type="dxa" w:w="2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±0.2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  <w:vertAlign w:val="superscript"/>
              </w:rPr>
              <w:t>°</w:t>
            </w:r>
          </w:p>
        </w:tc>
        <w:tc>
          <w:tcPr>
            <w:tcW w:type="dxa" w:w="4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-0.0104%∼0.0105%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峰值突出度、峰间距及插值半窗</w:t>
            </w:r>
          </w:p>
        </w:tc>
        <w:tc>
          <w:tcPr>
            <w:tcW w:type="dxa" w:w="2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预设搜索范围</w:t>
            </w:r>
          </w:p>
        </w:tc>
        <w:tc>
          <w:tcPr>
            <w:tcW w:type="dxa" w:w="4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30" w:after="30" w:line="252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联合相位结果无变化</w:t>
            </w:r>
          </w:p>
        </w:tc>
      </w:tr>
    </w:tbl>
    <w:p>
      <w:pPr>
        <w:spacing w:after="0"/>
      </w:pPr>
    </w:p>
    <w:p>
      <w:pPr/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折射率尺度扰动造成的变化最大，且厚度与折射率尺度近似反向变化，说明折射率模型是本问最主要的系统误差来源。这与干涉条纹主要识别光学厚度的机理一致；若两个角度共用同一组失准的折射率参数，联合拟合仍会保留这部分共同偏差。波段起点和基线窗口的影响次之，入射角小范围标定误差影响较弱。峰值突出度、最小峰间距和局部插值半窗主要作用于极值法，不进入联合相位拟合，因此在当前搜索范围内不会改变推荐厚度。将 Bootstrap 区间与全部敏感性结果取包络后，较保守的建议区间为 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[7.4311,7.5063] μm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。该区间宽于纯统计区间，表达的是“统计波动加参数不确定性”的综合范围，不应解释为严格概率意义下的 95% 置信区间。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相位拟合虽具有较高线性度，但两角度残差的一阶自相关分别为 0.9967 和 0.9978，残差频谱仍保留明显周期成分。这说明高 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R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主要支持相位与等效光学波数的整体线性关系，并不能证明两光束模型已经解释全部细节。残余周期可能来自背景估计偏差、折射率模型不完全匹配，或实际光谱中的多次反射。本问只将其记录为模型遗漏的证据，不据此引入 Airy 公式或多光束修正。换言之，联合估计提高的是当前两光束模型下的统计稳定性，并不自动消除共同作用于两组光谱的模型偏差。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综上，附件 1 与附件 2 的单角度推荐厚度分别为 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7.4702 μm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和 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7.4666 μm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；采用同一晶圆共享厚度约束后，推荐结果为 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7.4686 μm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，统计 95% 置信区间为 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[7.4495,7.4865] μm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，计入参数敏感性后的建议区间为 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[7.4311,7.5063] μm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。该结论适用于所采用的 4H-SiC 普通光折射率模型和两光束干涉假设；晶型、晶向、掺杂、温度及潜在多光束效应仍可能带来额外系统偏差。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595959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Times New Roman" w:hAnsi="Times New Roman" w:eastAsia="宋体" w:cs="Times New Roman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480"/>
      <w:jc w:val="both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pPr>
      <w:keepLines/>
      <w:spacing w:before="100" w:after="100" w:line="240" w:lineRule="auto"/>
      <w:ind w:firstLine="0"/>
    </w:pPr>
    <w:rPr>
      <w:rFonts w:ascii="Cambria Math" w:hAnsi="Cambria Math" w:eastAsia="Cambria Math"/>
      <w:sz w:val="22"/>
    </w:rPr>
  </w:style>
  <w:style w:type="paragraph" w:customStyle="1" w:styleId="TableCaption">
    <w:name w:val="Table Caption"/>
    <w:pPr>
      <w:keepNext/>
      <w:spacing w:before="120" w:after="80"/>
      <w:ind w:firstLine="0"/>
      <w:jc w:val="center"/>
    </w:pPr>
    <w:rPr>
      <w:rFonts w:ascii="Times New Roman" w:hAnsi="Times New Roman" w:eastAsia="黑体"/>
      <w:b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