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Times New Roman"/>
          <w:b/>
          <w:i w:val="0"/>
          <w:sz w:val="28"/>
        </w:rPr>
        <w:t>3.2 explicación detallada de la implementación de la mejora al área</w:t>
      </w:r>
    </w:p>
    <w:p>
      <w:pPr>
        <w:spacing w:line="360" w:lineRule="auto" w:after="120"/>
        <w:jc w:val="both"/>
      </w:pPr>
      <w:r>
        <w:t>Antes de proceder con el diseño e implementación técnica de la plataforma digital, se llevó a cabo un diagnóstico detallado del área de gestión y mantenimiento de infraestructura para identificar los cuellos de botella operativos y estructurar las necesidades específicas de los perfiles de usuario que interactúan con el servicio.</w:t>
        <w:br/>
        <w:br/>
        <w:t>Por una parte, las funciones de coordinación, planeación y supervisión general de la infraestructura demandan herramientas que permitan registrar de manera formal las solicitudes de atención de los clientes, calendarizar las intervenciones y asignar de manera controlada al personal operativo disponible. Para este perfil de control, resulta indispensable contar con un tablero de control en tiempo real que muestre el estado de avance de las órdenes de trabajo, así como con mecanismos de auditoría cartográfica que permitan confrontar la geolocalización programada de un servicio contra la ubicación física real en donde el operario ejecuta la actividad. Adicionalmente, este rol requiere administrar el catálogo de clientes, supervisar el stock disponible de insumos en el almacén central y consolidar la información histórica de las intervenciones para generar reportes administrativos y de calidad.</w:t>
        <w:br/>
        <w:br/>
        <w:t>Por otra parte, el personal encargado de la ejecución operativa de los servicios técnicos en campo requiere de una interfaz simplificada, de alta visibilidad en exteriores y optimizada para dispositivos móviles (teléfonos inteligentes o tabletas). Sus necesidades críticas se centran en visualizar con claridad y de manera directa la lista de tareas que le han sido asignadas en el día, acceder a la información de contacto y ubicación cartográfica del cliente, capturar coordenadas geográficas precisas al momento de iniciar y finalizar la intervención, reportar de forma sencilla los materiales del inventario que consumió, y registrar evidencias digitales (fotografías y observaciones escritas de cierre). Debido a que las intervenciones en campo se realizan con frecuencia en sótanos, laboratorios blindados o zonas geográficas con baja o nula cobertura de red celular, resulta prioritario que la solución integre mecanismos de persistencia local offline que garanticen que la información y las evidencias capturadas no se pierdan, permitiendo su sincronización automática una vez que el dispositivo detecte la restauración de la conectividad a internet.</w:t>
        <w:br/>
        <w:br/>
        <w:t>Posterior al análisis de estos requisitos de usuario, se realizó una valoración de alcance técnico considerando las condiciones tecnológicas y de presupuesto disponibles para el proyecto. Se determinó que, debido a las limitaciones financieras que impiden costear el uso de interfaces de programación (APIs) cartográficas comerciales de uso continuo (como Google Maps API) y al impacto negativo en la autonomía de la batería de los dispositivos móviles derivado del rastreo GPS persistente en segundo plano, no sería viable implementar un seguimiento geográfico en tiempo real de los trayectos de los operarios. En su lugar, se discernió como una solución técnica viable y altamente eficiente la integración de la API nativa de geolocalización de HTML5 para capturar el posicionamiento del dispositivo únicamente en el inicio y en el cierre del servicio, contrastando estos datos en un visor cartográfico basado en Leaflet y OpenStreetMap (de uso gratuito). Asimismo, en lugar de una aplicación móvil nativa con costos de desarrollo y publicación elevados, se optó por una Aplicación Web Progresiva (PWA) con Service Workers y manifiesto de aplicación, logrando así un entorno instalable y adaptado a móviles a un coste cero de licenciamiento.</w:t>
      </w:r>
    </w:p>
    <w:p>
      <w:pPr>
        <w:spacing w:line="360" w:lineRule="auto" w:after="120"/>
        <w:jc w:val="center"/>
      </w:pPr>
      <w:r>
        <w:rPr>
          <w:rFonts w:ascii="Times New Roman" w:hAnsi="Times New Roman" w:eastAsia="Times New Roman"/>
          <w:b w:val="0"/>
          <w:i/>
          <w:sz w:val="22"/>
        </w:rPr>
        <w:t>[ESPACIO PARA FIGURA 1. Diagrama del flujo actual del área y del flujo propuesto de la solución.]</w:t>
      </w:r>
    </w:p>
    <w:p>
      <w:pPr>
        <w:spacing w:before="240" w:after="120"/>
        <w:jc w:val="left"/>
      </w:pPr>
      <w:r>
        <w:rPr>
          <w:rFonts w:ascii="Times New Roman" w:hAnsi="Times New Roman" w:eastAsia="Times New Roman"/>
          <w:b/>
          <w:i w:val="0"/>
          <w:sz w:val="26"/>
        </w:rPr>
        <w:t>Tabla 1. Requerimientos funcionales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jc w:val="center"/>
            </w:pPr>
            <w:r/>
            <w:r>
              <w:rPr>
                <w:rFonts w:ascii="Times New Roman" w:hAnsi="Times New Roman" w:eastAsia="Times New Roman"/>
                <w:b/>
                <w:i w:val="0"/>
                <w:sz w:val="20"/>
              </w:rPr>
              <w:t>ID</w:t>
            </w:r>
          </w:p>
        </w:tc>
        <w:tc>
          <w:tcPr>
            <w:tcW w:type="dxa" w:w="2340"/>
            <w:vAlign w:val="center"/>
          </w:tcPr>
          <w:p>
            <w:pPr>
              <w:jc w:val="center"/>
            </w:pPr>
            <w:r/>
            <w:r>
              <w:rPr>
                <w:rFonts w:ascii="Times New Roman" w:hAnsi="Times New Roman" w:eastAsia="Times New Roman"/>
                <w:b/>
                <w:i w:val="0"/>
                <w:sz w:val="20"/>
              </w:rPr>
              <w:t>Requerimiento funcional</w:t>
            </w:r>
          </w:p>
        </w:tc>
        <w:tc>
          <w:tcPr>
            <w:tcW w:type="dxa" w:w="2340"/>
            <w:vAlign w:val="center"/>
          </w:tcPr>
          <w:p>
            <w:pPr>
              <w:jc w:val="center"/>
            </w:pPr>
            <w:r/>
            <w:r>
              <w:rPr>
                <w:rFonts w:ascii="Times New Roman" w:hAnsi="Times New Roman" w:eastAsia="Times New Roman"/>
                <w:b/>
                <w:i w:val="0"/>
                <w:sz w:val="20"/>
              </w:rPr>
              <w:t>Descripción</w:t>
            </w:r>
          </w:p>
        </w:tc>
        <w:tc>
          <w:tcPr>
            <w:tcW w:type="dxa" w:w="2340"/>
            <w:vAlign w:val="center"/>
          </w:tcPr>
          <w:p>
            <w:pPr>
              <w:jc w:val="center"/>
            </w:pPr>
            <w:r/>
            <w:r>
              <w:rPr>
                <w:rFonts w:ascii="Times New Roman" w:hAnsi="Times New Roman" w:eastAsia="Times New Roman"/>
                <w:b/>
                <w:i w:val="0"/>
                <w:sz w:val="20"/>
              </w:rPr>
              <w:t>Prioridad</w:t>
            </w:r>
          </w:p>
        </w:tc>
      </w:tr>
      <w:tr>
        <w:tc>
          <w:tcPr>
            <w:tcW w:type="dxa" w:w="2340"/>
            <w:vAlign w:val="center"/>
          </w:tcPr>
          <w:p>
            <w:pPr>
              <w:jc w:val="left"/>
            </w:pPr>
            <w:r/>
            <w:r>
              <w:rPr>
                <w:rFonts w:ascii="Times New Roman" w:hAnsi="Times New Roman" w:eastAsia="Times New Roman"/>
                <w:b w:val="0"/>
                <w:i w:val="0"/>
                <w:sz w:val="19"/>
              </w:rPr>
              <w:t>RF-1</w:t>
            </w:r>
          </w:p>
        </w:tc>
        <w:tc>
          <w:tcPr>
            <w:tcW w:type="dxa" w:w="2340"/>
            <w:vAlign w:val="center"/>
          </w:tcPr>
          <w:p>
            <w:pPr>
              <w:jc w:val="left"/>
            </w:pPr>
            <w:r/>
            <w:r>
              <w:rPr>
                <w:rFonts w:ascii="Times New Roman" w:hAnsi="Times New Roman" w:eastAsia="Times New Roman"/>
                <w:b w:val="0"/>
                <w:i w:val="0"/>
                <w:sz w:val="19"/>
              </w:rPr>
              <w:t>Autenticación de usuarios por roles</w:t>
            </w:r>
          </w:p>
        </w:tc>
        <w:tc>
          <w:tcPr>
            <w:tcW w:type="dxa" w:w="2340"/>
            <w:vAlign w:val="center"/>
          </w:tcPr>
          <w:p>
            <w:pPr>
              <w:jc w:val="left"/>
            </w:pPr>
            <w:r/>
            <w:r>
              <w:rPr>
                <w:rFonts w:ascii="Times New Roman" w:hAnsi="Times New Roman" w:eastAsia="Times New Roman"/>
                <w:b w:val="0"/>
                <w:i w:val="0"/>
                <w:sz w:val="19"/>
              </w:rPr>
              <w:t>El inicio de sesión determina si el usuario accede como administrador o técnico.</w:t>
            </w:r>
          </w:p>
        </w:tc>
        <w:tc>
          <w:tcPr>
            <w:tcW w:type="dxa" w:w="2340"/>
            <w:vAlign w:val="center"/>
          </w:tcPr>
          <w:p>
            <w:pPr>
              <w:jc w:val="left"/>
            </w:pPr>
            <w:r/>
            <w:r>
              <w:rPr>
                <w:rFonts w:ascii="Times New Roman" w:hAnsi="Times New Roman" w:eastAsia="Times New Roman"/>
                <w:b w:val="0"/>
                <w:i w:val="0"/>
                <w:sz w:val="19"/>
              </w:rPr>
              <w:t>Alta</w:t>
            </w:r>
          </w:p>
        </w:tc>
      </w:tr>
      <w:tr>
        <w:tc>
          <w:tcPr>
            <w:tcW w:type="dxa" w:w="2340"/>
            <w:vAlign w:val="center"/>
          </w:tcPr>
          <w:p>
            <w:pPr>
              <w:jc w:val="left"/>
            </w:pPr>
            <w:r/>
            <w:r>
              <w:rPr>
                <w:rFonts w:ascii="Times New Roman" w:hAnsi="Times New Roman" w:eastAsia="Times New Roman"/>
                <w:b w:val="0"/>
                <w:i w:val="0"/>
                <w:sz w:val="19"/>
              </w:rPr>
              <w:t>RF-2</w:t>
            </w:r>
          </w:p>
        </w:tc>
        <w:tc>
          <w:tcPr>
            <w:tcW w:type="dxa" w:w="2340"/>
            <w:vAlign w:val="center"/>
          </w:tcPr>
          <w:p>
            <w:pPr>
              <w:jc w:val="left"/>
            </w:pPr>
            <w:r/>
            <w:r>
              <w:rPr>
                <w:rFonts w:ascii="Times New Roman" w:hAnsi="Times New Roman" w:eastAsia="Times New Roman"/>
                <w:b w:val="0"/>
                <w:i w:val="0"/>
                <w:sz w:val="19"/>
              </w:rPr>
              <w:t>CRUD de clientes</w:t>
            </w:r>
          </w:p>
        </w:tc>
        <w:tc>
          <w:tcPr>
            <w:tcW w:type="dxa" w:w="2340"/>
            <w:vAlign w:val="center"/>
          </w:tcPr>
          <w:p>
            <w:pPr>
              <w:jc w:val="left"/>
            </w:pPr>
            <w:r/>
            <w:r>
              <w:rPr>
                <w:rFonts w:ascii="Times New Roman" w:hAnsi="Times New Roman" w:eastAsia="Times New Roman"/>
                <w:b w:val="0"/>
                <w:i w:val="0"/>
                <w:sz w:val="19"/>
              </w:rPr>
              <w:t>El sistema registra y administra los datos de contacto de los clientes para asociarlos a las órdenes de servicio.</w:t>
            </w:r>
          </w:p>
        </w:tc>
        <w:tc>
          <w:tcPr>
            <w:tcW w:type="dxa" w:w="2340"/>
            <w:vAlign w:val="center"/>
          </w:tcPr>
          <w:p>
            <w:pPr>
              <w:jc w:val="left"/>
            </w:pPr>
            <w:r/>
            <w:r>
              <w:rPr>
                <w:rFonts w:ascii="Times New Roman" w:hAnsi="Times New Roman" w:eastAsia="Times New Roman"/>
                <w:b w:val="0"/>
                <w:i w:val="0"/>
                <w:sz w:val="19"/>
              </w:rPr>
              <w:t>Alta</w:t>
            </w:r>
          </w:p>
        </w:tc>
      </w:tr>
      <w:tr>
        <w:tc>
          <w:tcPr>
            <w:tcW w:type="dxa" w:w="2340"/>
            <w:vAlign w:val="center"/>
          </w:tcPr>
          <w:p>
            <w:pPr>
              <w:jc w:val="left"/>
            </w:pPr>
            <w:r/>
            <w:r>
              <w:rPr>
                <w:rFonts w:ascii="Times New Roman" w:hAnsi="Times New Roman" w:eastAsia="Times New Roman"/>
                <w:b w:val="0"/>
                <w:i w:val="0"/>
                <w:sz w:val="19"/>
              </w:rPr>
              <w:t>RF-3</w:t>
            </w:r>
          </w:p>
        </w:tc>
        <w:tc>
          <w:tcPr>
            <w:tcW w:type="dxa" w:w="2340"/>
            <w:vAlign w:val="center"/>
          </w:tcPr>
          <w:p>
            <w:pPr>
              <w:jc w:val="left"/>
            </w:pPr>
            <w:r/>
            <w:r>
              <w:rPr>
                <w:rFonts w:ascii="Times New Roman" w:hAnsi="Times New Roman" w:eastAsia="Times New Roman"/>
                <w:b w:val="0"/>
                <w:i w:val="0"/>
                <w:sz w:val="19"/>
              </w:rPr>
              <w:t>CRUD de órdenes de servicio</w:t>
            </w:r>
          </w:p>
        </w:tc>
        <w:tc>
          <w:tcPr>
            <w:tcW w:type="dxa" w:w="2340"/>
            <w:vAlign w:val="center"/>
          </w:tcPr>
          <w:p>
            <w:pPr>
              <w:jc w:val="left"/>
            </w:pPr>
            <w:r/>
            <w:r>
              <w:rPr>
                <w:rFonts w:ascii="Times New Roman" w:hAnsi="Times New Roman" w:eastAsia="Times New Roman"/>
                <w:b w:val="0"/>
                <w:i w:val="0"/>
                <w:sz w:val="19"/>
              </w:rPr>
              <w:t>El formulario permite crear y editar trabajos asignando cliente, técnico, fecha y descripción.</w:t>
            </w:r>
          </w:p>
        </w:tc>
        <w:tc>
          <w:tcPr>
            <w:tcW w:type="dxa" w:w="2340"/>
            <w:vAlign w:val="center"/>
          </w:tcPr>
          <w:p>
            <w:pPr>
              <w:jc w:val="left"/>
            </w:pPr>
            <w:r/>
            <w:r>
              <w:rPr>
                <w:rFonts w:ascii="Times New Roman" w:hAnsi="Times New Roman" w:eastAsia="Times New Roman"/>
                <w:b w:val="0"/>
                <w:i w:val="0"/>
                <w:sz w:val="19"/>
              </w:rPr>
              <w:t>Alta</w:t>
            </w:r>
          </w:p>
        </w:tc>
      </w:tr>
      <w:tr>
        <w:tc>
          <w:tcPr>
            <w:tcW w:type="dxa" w:w="2340"/>
            <w:vAlign w:val="center"/>
          </w:tcPr>
          <w:p>
            <w:pPr>
              <w:jc w:val="left"/>
            </w:pPr>
            <w:r/>
            <w:r>
              <w:rPr>
                <w:rFonts w:ascii="Times New Roman" w:hAnsi="Times New Roman" w:eastAsia="Times New Roman"/>
                <w:b w:val="0"/>
                <w:i w:val="0"/>
                <w:sz w:val="19"/>
              </w:rPr>
              <w:t>RF-4</w:t>
            </w:r>
          </w:p>
        </w:tc>
        <w:tc>
          <w:tcPr>
            <w:tcW w:type="dxa" w:w="2340"/>
            <w:vAlign w:val="center"/>
          </w:tcPr>
          <w:p>
            <w:pPr>
              <w:jc w:val="left"/>
            </w:pPr>
            <w:r/>
            <w:r>
              <w:rPr>
                <w:rFonts w:ascii="Times New Roman" w:hAnsi="Times New Roman" w:eastAsia="Times New Roman"/>
                <w:b w:val="0"/>
                <w:i w:val="0"/>
                <w:sz w:val="19"/>
              </w:rPr>
              <w:t>Asignación geográfica de destino</w:t>
            </w:r>
          </w:p>
        </w:tc>
        <w:tc>
          <w:tcPr>
            <w:tcW w:type="dxa" w:w="2340"/>
            <w:vAlign w:val="center"/>
          </w:tcPr>
          <w:p>
            <w:pPr>
              <w:jc w:val="left"/>
            </w:pPr>
            <w:r/>
            <w:r>
              <w:rPr>
                <w:rFonts w:ascii="Times New Roman" w:hAnsi="Times New Roman" w:eastAsia="Times New Roman"/>
                <w:b w:val="0"/>
                <w:i w:val="0"/>
                <w:sz w:val="19"/>
              </w:rPr>
              <w:t>El administrador define en un mapa la ubicación objetivo del servicio y obtiene su dirección legible.</w:t>
            </w:r>
          </w:p>
        </w:tc>
        <w:tc>
          <w:tcPr>
            <w:tcW w:type="dxa" w:w="2340"/>
            <w:vAlign w:val="center"/>
          </w:tcPr>
          <w:p>
            <w:pPr>
              <w:jc w:val="left"/>
            </w:pPr>
            <w:r/>
            <w:r>
              <w:rPr>
                <w:rFonts w:ascii="Times New Roman" w:hAnsi="Times New Roman" w:eastAsia="Times New Roman"/>
                <w:b w:val="0"/>
                <w:i w:val="0"/>
                <w:sz w:val="19"/>
              </w:rPr>
              <w:t>Alta</w:t>
            </w:r>
          </w:p>
        </w:tc>
      </w:tr>
      <w:tr>
        <w:tc>
          <w:tcPr>
            <w:tcW w:type="dxa" w:w="2340"/>
            <w:vAlign w:val="center"/>
          </w:tcPr>
          <w:p>
            <w:pPr>
              <w:jc w:val="left"/>
            </w:pPr>
            <w:r/>
            <w:r>
              <w:rPr>
                <w:rFonts w:ascii="Times New Roman" w:hAnsi="Times New Roman" w:eastAsia="Times New Roman"/>
                <w:b w:val="0"/>
                <w:i w:val="0"/>
                <w:sz w:val="19"/>
              </w:rPr>
              <w:t>RF-5</w:t>
            </w:r>
          </w:p>
        </w:tc>
        <w:tc>
          <w:tcPr>
            <w:tcW w:type="dxa" w:w="2340"/>
            <w:vAlign w:val="center"/>
          </w:tcPr>
          <w:p>
            <w:pPr>
              <w:jc w:val="left"/>
            </w:pPr>
            <w:r/>
            <w:r>
              <w:rPr>
                <w:rFonts w:ascii="Times New Roman" w:hAnsi="Times New Roman" w:eastAsia="Times New Roman"/>
                <w:b w:val="0"/>
                <w:i w:val="0"/>
                <w:sz w:val="19"/>
              </w:rPr>
              <w:t>Carga de imágenes de referencia</w:t>
            </w:r>
          </w:p>
        </w:tc>
        <w:tc>
          <w:tcPr>
            <w:tcW w:type="dxa" w:w="2340"/>
            <w:vAlign w:val="center"/>
          </w:tcPr>
          <w:p>
            <w:pPr>
              <w:jc w:val="left"/>
            </w:pPr>
            <w:r/>
            <w:r>
              <w:rPr>
                <w:rFonts w:ascii="Times New Roman" w:hAnsi="Times New Roman" w:eastAsia="Times New Roman"/>
                <w:b w:val="0"/>
                <w:i w:val="0"/>
                <w:sz w:val="19"/>
              </w:rPr>
              <w:t>El administrador agrega imágenes guía asociadas a la orden para documentar el contexto del servicio.</w:t>
            </w:r>
          </w:p>
        </w:tc>
        <w:tc>
          <w:tcPr>
            <w:tcW w:type="dxa" w:w="2340"/>
            <w:vAlign w:val="center"/>
          </w:tcPr>
          <w:p>
            <w:pPr>
              <w:jc w:val="left"/>
            </w:pPr>
            <w:r/>
            <w:r>
              <w:rPr>
                <w:rFonts w:ascii="Times New Roman" w:hAnsi="Times New Roman" w:eastAsia="Times New Roman"/>
                <w:b w:val="0"/>
                <w:i w:val="0"/>
                <w:sz w:val="19"/>
              </w:rPr>
              <w:t>Media</w:t>
            </w:r>
          </w:p>
        </w:tc>
      </w:tr>
      <w:tr>
        <w:tc>
          <w:tcPr>
            <w:tcW w:type="dxa" w:w="2340"/>
            <w:vAlign w:val="center"/>
          </w:tcPr>
          <w:p>
            <w:pPr>
              <w:jc w:val="left"/>
            </w:pPr>
            <w:r/>
            <w:r>
              <w:rPr>
                <w:rFonts w:ascii="Times New Roman" w:hAnsi="Times New Roman" w:eastAsia="Times New Roman"/>
                <w:b w:val="0"/>
                <w:i w:val="0"/>
                <w:sz w:val="19"/>
              </w:rPr>
              <w:t>RF-6</w:t>
            </w:r>
          </w:p>
        </w:tc>
        <w:tc>
          <w:tcPr>
            <w:tcW w:type="dxa" w:w="2340"/>
            <w:vAlign w:val="center"/>
          </w:tcPr>
          <w:p>
            <w:pPr>
              <w:jc w:val="left"/>
            </w:pPr>
            <w:r/>
            <w:r>
              <w:rPr>
                <w:rFonts w:ascii="Times New Roman" w:hAnsi="Times New Roman" w:eastAsia="Times New Roman"/>
                <w:b w:val="0"/>
                <w:i w:val="0"/>
                <w:sz w:val="19"/>
              </w:rPr>
              <w:t>Monitoreo de estados</w:t>
            </w:r>
          </w:p>
        </w:tc>
        <w:tc>
          <w:tcPr>
            <w:tcW w:type="dxa" w:w="2340"/>
            <w:vAlign w:val="center"/>
          </w:tcPr>
          <w:p>
            <w:pPr>
              <w:jc w:val="left"/>
            </w:pPr>
            <w:r/>
            <w:r>
              <w:rPr>
                <w:rFonts w:ascii="Times New Roman" w:hAnsi="Times New Roman" w:eastAsia="Times New Roman"/>
                <w:b w:val="0"/>
                <w:i w:val="0"/>
                <w:sz w:val="19"/>
              </w:rPr>
              <w:t>El panel clasifica las órdenes por su estado físico y operativo en tiempo real.</w:t>
            </w:r>
          </w:p>
        </w:tc>
        <w:tc>
          <w:tcPr>
            <w:tcW w:type="dxa" w:w="2340"/>
            <w:vAlign w:val="center"/>
          </w:tcPr>
          <w:p>
            <w:pPr>
              <w:jc w:val="left"/>
            </w:pPr>
            <w:r/>
            <w:r>
              <w:rPr>
                <w:rFonts w:ascii="Times New Roman" w:hAnsi="Times New Roman" w:eastAsia="Times New Roman"/>
                <w:b w:val="0"/>
                <w:i w:val="0"/>
                <w:sz w:val="19"/>
              </w:rPr>
              <w:t>Alta</w:t>
            </w:r>
          </w:p>
        </w:tc>
      </w:tr>
      <w:tr>
        <w:tc>
          <w:tcPr>
            <w:tcW w:type="dxa" w:w="2340"/>
            <w:vAlign w:val="center"/>
          </w:tcPr>
          <w:p>
            <w:pPr>
              <w:jc w:val="left"/>
            </w:pPr>
            <w:r/>
            <w:r>
              <w:rPr>
                <w:rFonts w:ascii="Times New Roman" w:hAnsi="Times New Roman" w:eastAsia="Times New Roman"/>
                <w:b w:val="0"/>
                <w:i w:val="0"/>
                <w:sz w:val="19"/>
              </w:rPr>
              <w:t>RF-7</w:t>
            </w:r>
          </w:p>
        </w:tc>
        <w:tc>
          <w:tcPr>
            <w:tcW w:type="dxa" w:w="2340"/>
            <w:vAlign w:val="center"/>
          </w:tcPr>
          <w:p>
            <w:pPr>
              <w:jc w:val="left"/>
            </w:pPr>
            <w:r/>
            <w:r>
              <w:rPr>
                <w:rFonts w:ascii="Times New Roman" w:hAnsi="Times New Roman" w:eastAsia="Times New Roman"/>
                <w:b w:val="0"/>
                <w:i w:val="0"/>
                <w:sz w:val="19"/>
              </w:rPr>
              <w:t>Listado de tareas asignadas</w:t>
            </w:r>
          </w:p>
        </w:tc>
        <w:tc>
          <w:tcPr>
            <w:tcW w:type="dxa" w:w="2340"/>
            <w:vAlign w:val="center"/>
          </w:tcPr>
          <w:p>
            <w:pPr>
              <w:jc w:val="left"/>
            </w:pPr>
            <w:r/>
            <w:r>
              <w:rPr>
                <w:rFonts w:ascii="Times New Roman" w:hAnsi="Times New Roman" w:eastAsia="Times New Roman"/>
                <w:b w:val="0"/>
                <w:i w:val="0"/>
                <w:sz w:val="19"/>
              </w:rPr>
              <w:t>El técnico visualiza únicamente los trabajos que tiene programados bajo su cuenta.</w:t>
            </w:r>
          </w:p>
        </w:tc>
        <w:tc>
          <w:tcPr>
            <w:tcW w:type="dxa" w:w="2340"/>
            <w:vAlign w:val="center"/>
          </w:tcPr>
          <w:p>
            <w:pPr>
              <w:jc w:val="left"/>
            </w:pPr>
            <w:r/>
            <w:r>
              <w:rPr>
                <w:rFonts w:ascii="Times New Roman" w:hAnsi="Times New Roman" w:eastAsia="Times New Roman"/>
                <w:b w:val="0"/>
                <w:i w:val="0"/>
                <w:sz w:val="19"/>
              </w:rPr>
              <w:t>Alta</w:t>
            </w:r>
          </w:p>
        </w:tc>
      </w:tr>
      <w:tr>
        <w:tc>
          <w:tcPr>
            <w:tcW w:type="dxa" w:w="2340"/>
            <w:vAlign w:val="center"/>
          </w:tcPr>
          <w:p>
            <w:pPr>
              <w:jc w:val="left"/>
            </w:pPr>
            <w:r/>
            <w:r>
              <w:rPr>
                <w:rFonts w:ascii="Times New Roman" w:hAnsi="Times New Roman" w:eastAsia="Times New Roman"/>
                <w:b w:val="0"/>
                <w:i w:val="0"/>
                <w:sz w:val="19"/>
              </w:rPr>
              <w:t>RF-8</w:t>
            </w:r>
          </w:p>
        </w:tc>
        <w:tc>
          <w:tcPr>
            <w:tcW w:type="dxa" w:w="2340"/>
            <w:vAlign w:val="center"/>
          </w:tcPr>
          <w:p>
            <w:pPr>
              <w:jc w:val="left"/>
            </w:pPr>
            <w:r/>
            <w:r>
              <w:rPr>
                <w:rFonts w:ascii="Times New Roman" w:hAnsi="Times New Roman" w:eastAsia="Times New Roman"/>
                <w:b w:val="0"/>
                <w:i w:val="0"/>
                <w:sz w:val="19"/>
              </w:rPr>
              <w:t>Registro de geoposición real</w:t>
            </w:r>
          </w:p>
        </w:tc>
        <w:tc>
          <w:tcPr>
            <w:tcW w:type="dxa" w:w="2340"/>
            <w:vAlign w:val="center"/>
          </w:tcPr>
          <w:p>
            <w:pPr>
              <w:jc w:val="left"/>
            </w:pPr>
            <w:r/>
            <w:r>
              <w:rPr>
                <w:rFonts w:ascii="Times New Roman" w:hAnsi="Times New Roman" w:eastAsia="Times New Roman"/>
                <w:b w:val="0"/>
                <w:i w:val="0"/>
                <w:sz w:val="19"/>
              </w:rPr>
              <w:t>El navegador móvil captura la coordenada real al iniciar y al completar la tarea.</w:t>
            </w:r>
          </w:p>
        </w:tc>
        <w:tc>
          <w:tcPr>
            <w:tcW w:type="dxa" w:w="2340"/>
            <w:vAlign w:val="center"/>
          </w:tcPr>
          <w:p>
            <w:pPr>
              <w:jc w:val="left"/>
            </w:pPr>
            <w:r/>
            <w:r>
              <w:rPr>
                <w:rFonts w:ascii="Times New Roman" w:hAnsi="Times New Roman" w:eastAsia="Times New Roman"/>
                <w:b w:val="0"/>
                <w:i w:val="0"/>
                <w:sz w:val="19"/>
              </w:rPr>
              <w:t>Alta</w:t>
            </w:r>
          </w:p>
        </w:tc>
      </w:tr>
      <w:tr>
        <w:tc>
          <w:tcPr>
            <w:tcW w:type="dxa" w:w="2340"/>
            <w:vAlign w:val="center"/>
          </w:tcPr>
          <w:p>
            <w:pPr>
              <w:jc w:val="left"/>
            </w:pPr>
            <w:r/>
            <w:r>
              <w:rPr>
                <w:rFonts w:ascii="Times New Roman" w:hAnsi="Times New Roman" w:eastAsia="Times New Roman"/>
                <w:b w:val="0"/>
                <w:i w:val="0"/>
                <w:sz w:val="19"/>
              </w:rPr>
              <w:t>RF-9</w:t>
            </w:r>
          </w:p>
        </w:tc>
        <w:tc>
          <w:tcPr>
            <w:tcW w:type="dxa" w:w="2340"/>
            <w:vAlign w:val="center"/>
          </w:tcPr>
          <w:p>
            <w:pPr>
              <w:jc w:val="left"/>
            </w:pPr>
            <w:r/>
            <w:r>
              <w:rPr>
                <w:rFonts w:ascii="Times New Roman" w:hAnsi="Times New Roman" w:eastAsia="Times New Roman"/>
                <w:b w:val="0"/>
                <w:i w:val="0"/>
                <w:sz w:val="19"/>
              </w:rPr>
              <w:t>Subida de evidencia fotográfica</w:t>
            </w:r>
          </w:p>
        </w:tc>
        <w:tc>
          <w:tcPr>
            <w:tcW w:type="dxa" w:w="2340"/>
            <w:vAlign w:val="center"/>
          </w:tcPr>
          <w:p>
            <w:pPr>
              <w:jc w:val="left"/>
            </w:pPr>
            <w:r/>
            <w:r>
              <w:rPr>
                <w:rFonts w:ascii="Times New Roman" w:hAnsi="Times New Roman" w:eastAsia="Times New Roman"/>
                <w:b w:val="0"/>
                <w:i w:val="0"/>
                <w:sz w:val="19"/>
              </w:rPr>
              <w:t>El técnico toma fotografías en campo y el sistema las almacena en la nube.</w:t>
            </w:r>
          </w:p>
        </w:tc>
        <w:tc>
          <w:tcPr>
            <w:tcW w:type="dxa" w:w="2340"/>
            <w:vAlign w:val="center"/>
          </w:tcPr>
          <w:p>
            <w:pPr>
              <w:jc w:val="left"/>
            </w:pPr>
            <w:r/>
            <w:r>
              <w:rPr>
                <w:rFonts w:ascii="Times New Roman" w:hAnsi="Times New Roman" w:eastAsia="Times New Roman"/>
                <w:b w:val="0"/>
                <w:i w:val="0"/>
                <w:sz w:val="19"/>
              </w:rPr>
              <w:t>Alta</w:t>
            </w:r>
          </w:p>
        </w:tc>
      </w:tr>
      <w:tr>
        <w:tc>
          <w:tcPr>
            <w:tcW w:type="dxa" w:w="2340"/>
            <w:vAlign w:val="center"/>
          </w:tcPr>
          <w:p>
            <w:pPr>
              <w:jc w:val="left"/>
            </w:pPr>
            <w:r/>
            <w:r>
              <w:rPr>
                <w:rFonts w:ascii="Times New Roman" w:hAnsi="Times New Roman" w:eastAsia="Times New Roman"/>
                <w:b w:val="0"/>
                <w:i w:val="0"/>
                <w:sz w:val="19"/>
              </w:rPr>
              <w:t>RF-10</w:t>
            </w:r>
          </w:p>
        </w:tc>
        <w:tc>
          <w:tcPr>
            <w:tcW w:type="dxa" w:w="2340"/>
            <w:vAlign w:val="center"/>
          </w:tcPr>
          <w:p>
            <w:pPr>
              <w:jc w:val="left"/>
            </w:pPr>
            <w:r/>
            <w:r>
              <w:rPr>
                <w:rFonts w:ascii="Times New Roman" w:hAnsi="Times New Roman" w:eastAsia="Times New Roman"/>
                <w:b w:val="0"/>
                <w:i w:val="0"/>
                <w:sz w:val="19"/>
              </w:rPr>
              <w:t>Cierre técnico obligatorio</w:t>
            </w:r>
          </w:p>
        </w:tc>
        <w:tc>
          <w:tcPr>
            <w:tcW w:type="dxa" w:w="2340"/>
            <w:vAlign w:val="center"/>
          </w:tcPr>
          <w:p>
            <w:pPr>
              <w:jc w:val="left"/>
            </w:pPr>
            <w:r/>
            <w:r>
              <w:rPr>
                <w:rFonts w:ascii="Times New Roman" w:hAnsi="Times New Roman" w:eastAsia="Times New Roman"/>
                <w:b w:val="0"/>
                <w:i w:val="0"/>
                <w:sz w:val="19"/>
              </w:rPr>
              <w:t>La orden no se completa si no existen evidencias y observaciones vinculadas.</w:t>
            </w:r>
          </w:p>
        </w:tc>
        <w:tc>
          <w:tcPr>
            <w:tcW w:type="dxa" w:w="2340"/>
            <w:vAlign w:val="center"/>
          </w:tcPr>
          <w:p>
            <w:pPr>
              <w:jc w:val="left"/>
            </w:pPr>
            <w:r/>
            <w:r>
              <w:rPr>
                <w:rFonts w:ascii="Times New Roman" w:hAnsi="Times New Roman" w:eastAsia="Times New Roman"/>
                <w:b w:val="0"/>
                <w:i w:val="0"/>
                <w:sz w:val="19"/>
              </w:rPr>
              <w:t>Alta</w:t>
            </w:r>
          </w:p>
        </w:tc>
      </w:tr>
    </w:tbl>
    <w:p/>
    <w:p>
      <w:pPr>
        <w:spacing w:before="240" w:after="120"/>
        <w:jc w:val="left"/>
      </w:pPr>
      <w:r>
        <w:rPr>
          <w:rFonts w:ascii="Times New Roman" w:hAnsi="Times New Roman" w:eastAsia="Times New Roman"/>
          <w:b/>
          <w:i w:val="0"/>
          <w:sz w:val="26"/>
        </w:rPr>
        <w:t>Tabla 2. Requerimientos no funcionales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jc w:val="center"/>
            </w:pPr>
            <w:r/>
            <w:r>
              <w:rPr>
                <w:rFonts w:ascii="Times New Roman" w:hAnsi="Times New Roman" w:eastAsia="Times New Roman"/>
                <w:b/>
                <w:i w:val="0"/>
                <w:sz w:val="20"/>
              </w:rPr>
              <w:t>ID</w:t>
            </w:r>
          </w:p>
        </w:tc>
        <w:tc>
          <w:tcPr>
            <w:tcW w:type="dxa" w:w="2340"/>
            <w:vAlign w:val="center"/>
          </w:tcPr>
          <w:p>
            <w:pPr>
              <w:jc w:val="center"/>
            </w:pPr>
            <w:r/>
            <w:r>
              <w:rPr>
                <w:rFonts w:ascii="Times New Roman" w:hAnsi="Times New Roman" w:eastAsia="Times New Roman"/>
                <w:b/>
                <w:i w:val="0"/>
                <w:sz w:val="20"/>
              </w:rPr>
              <w:t>Requerimiento no funcional</w:t>
            </w:r>
          </w:p>
        </w:tc>
        <w:tc>
          <w:tcPr>
            <w:tcW w:type="dxa" w:w="2340"/>
            <w:vAlign w:val="center"/>
          </w:tcPr>
          <w:p>
            <w:pPr>
              <w:jc w:val="center"/>
            </w:pPr>
            <w:r/>
            <w:r>
              <w:rPr>
                <w:rFonts w:ascii="Times New Roman" w:hAnsi="Times New Roman" w:eastAsia="Times New Roman"/>
                <w:b/>
                <w:i w:val="0"/>
                <w:sz w:val="20"/>
              </w:rPr>
              <w:t>Descripción</w:t>
            </w:r>
          </w:p>
        </w:tc>
        <w:tc>
          <w:tcPr>
            <w:tcW w:type="dxa" w:w="2340"/>
            <w:vAlign w:val="center"/>
          </w:tcPr>
          <w:p>
            <w:pPr>
              <w:jc w:val="center"/>
            </w:pPr>
            <w:r/>
            <w:r>
              <w:rPr>
                <w:rFonts w:ascii="Times New Roman" w:hAnsi="Times New Roman" w:eastAsia="Times New Roman"/>
                <w:b/>
                <w:i w:val="0"/>
                <w:sz w:val="20"/>
              </w:rPr>
              <w:t>Prioridad</w:t>
            </w:r>
          </w:p>
        </w:tc>
      </w:tr>
      <w:tr>
        <w:tc>
          <w:tcPr>
            <w:tcW w:type="dxa" w:w="2340"/>
            <w:vAlign w:val="center"/>
          </w:tcPr>
          <w:p>
            <w:pPr>
              <w:jc w:val="left"/>
            </w:pPr>
            <w:r/>
            <w:r>
              <w:rPr>
                <w:rFonts w:ascii="Times New Roman" w:hAnsi="Times New Roman" w:eastAsia="Times New Roman"/>
                <w:b w:val="0"/>
                <w:i w:val="0"/>
                <w:sz w:val="19"/>
              </w:rPr>
              <w:t>RNF-1</w:t>
            </w:r>
          </w:p>
        </w:tc>
        <w:tc>
          <w:tcPr>
            <w:tcW w:type="dxa" w:w="2340"/>
            <w:vAlign w:val="center"/>
          </w:tcPr>
          <w:p>
            <w:pPr>
              <w:jc w:val="left"/>
            </w:pPr>
            <w:r/>
            <w:r>
              <w:rPr>
                <w:rFonts w:ascii="Times New Roman" w:hAnsi="Times New Roman" w:eastAsia="Times New Roman"/>
                <w:b w:val="0"/>
                <w:i w:val="0"/>
                <w:sz w:val="19"/>
              </w:rPr>
              <w:t>Instalabilidad y responsividad PWA</w:t>
            </w:r>
          </w:p>
        </w:tc>
        <w:tc>
          <w:tcPr>
            <w:tcW w:type="dxa" w:w="2340"/>
            <w:vAlign w:val="center"/>
          </w:tcPr>
          <w:p>
            <w:pPr>
              <w:jc w:val="left"/>
            </w:pPr>
            <w:r/>
            <w:r>
              <w:rPr>
                <w:rFonts w:ascii="Times New Roman" w:hAnsi="Times New Roman" w:eastAsia="Times New Roman"/>
                <w:b w:val="0"/>
                <w:i w:val="0"/>
                <w:sz w:val="19"/>
              </w:rPr>
              <w:t>El frontend funciona como aplicación instalable y adaptable a móviles y escritorio.</w:t>
            </w:r>
          </w:p>
        </w:tc>
        <w:tc>
          <w:tcPr>
            <w:tcW w:type="dxa" w:w="2340"/>
            <w:vAlign w:val="center"/>
          </w:tcPr>
          <w:p>
            <w:pPr>
              <w:jc w:val="left"/>
            </w:pPr>
            <w:r/>
            <w:r>
              <w:rPr>
                <w:rFonts w:ascii="Times New Roman" w:hAnsi="Times New Roman" w:eastAsia="Times New Roman"/>
                <w:b w:val="0"/>
                <w:i w:val="0"/>
                <w:sz w:val="19"/>
              </w:rPr>
              <w:t>Alta</w:t>
            </w:r>
          </w:p>
        </w:tc>
      </w:tr>
      <w:tr>
        <w:tc>
          <w:tcPr>
            <w:tcW w:type="dxa" w:w="2340"/>
            <w:vAlign w:val="center"/>
          </w:tcPr>
          <w:p>
            <w:pPr>
              <w:jc w:val="left"/>
            </w:pPr>
            <w:r/>
            <w:r>
              <w:rPr>
                <w:rFonts w:ascii="Times New Roman" w:hAnsi="Times New Roman" w:eastAsia="Times New Roman"/>
                <w:b w:val="0"/>
                <w:i w:val="0"/>
                <w:sz w:val="19"/>
              </w:rPr>
              <w:t>RNF-2</w:t>
            </w:r>
          </w:p>
        </w:tc>
        <w:tc>
          <w:tcPr>
            <w:tcW w:type="dxa" w:w="2340"/>
            <w:vAlign w:val="center"/>
          </w:tcPr>
          <w:p>
            <w:pPr>
              <w:jc w:val="left"/>
            </w:pPr>
            <w:r/>
            <w:r>
              <w:rPr>
                <w:rFonts w:ascii="Times New Roman" w:hAnsi="Times New Roman" w:eastAsia="Times New Roman"/>
                <w:b w:val="0"/>
                <w:i w:val="0"/>
                <w:sz w:val="19"/>
              </w:rPr>
              <w:t>Seguridad en la base de datos</w:t>
            </w:r>
          </w:p>
        </w:tc>
        <w:tc>
          <w:tcPr>
            <w:tcW w:type="dxa" w:w="2340"/>
            <w:vAlign w:val="center"/>
          </w:tcPr>
          <w:p>
            <w:pPr>
              <w:jc w:val="left"/>
            </w:pPr>
            <w:r/>
            <w:r>
              <w:rPr>
                <w:rFonts w:ascii="Times New Roman" w:hAnsi="Times New Roman" w:eastAsia="Times New Roman"/>
                <w:b w:val="0"/>
                <w:i w:val="0"/>
                <w:sz w:val="19"/>
              </w:rPr>
              <w:t>Ningún técnico accede o modifica datos fuera de su asignación.</w:t>
            </w:r>
          </w:p>
        </w:tc>
        <w:tc>
          <w:tcPr>
            <w:tcW w:type="dxa" w:w="2340"/>
            <w:vAlign w:val="center"/>
          </w:tcPr>
          <w:p>
            <w:pPr>
              <w:jc w:val="left"/>
            </w:pPr>
            <w:r/>
            <w:r>
              <w:rPr>
                <w:rFonts w:ascii="Times New Roman" w:hAnsi="Times New Roman" w:eastAsia="Times New Roman"/>
                <w:b w:val="0"/>
                <w:i w:val="0"/>
                <w:sz w:val="19"/>
              </w:rPr>
              <w:t>Alta</w:t>
            </w:r>
          </w:p>
        </w:tc>
      </w:tr>
      <w:tr>
        <w:tc>
          <w:tcPr>
            <w:tcW w:type="dxa" w:w="2340"/>
            <w:vAlign w:val="center"/>
          </w:tcPr>
          <w:p>
            <w:pPr>
              <w:jc w:val="left"/>
            </w:pPr>
            <w:r/>
            <w:r>
              <w:rPr>
                <w:rFonts w:ascii="Times New Roman" w:hAnsi="Times New Roman" w:eastAsia="Times New Roman"/>
                <w:b w:val="0"/>
                <w:i w:val="0"/>
                <w:sz w:val="19"/>
              </w:rPr>
              <w:t>RNF-3</w:t>
            </w:r>
          </w:p>
        </w:tc>
        <w:tc>
          <w:tcPr>
            <w:tcW w:type="dxa" w:w="2340"/>
            <w:vAlign w:val="center"/>
          </w:tcPr>
          <w:p>
            <w:pPr>
              <w:jc w:val="left"/>
            </w:pPr>
            <w:r/>
            <w:r>
              <w:rPr>
                <w:rFonts w:ascii="Times New Roman" w:hAnsi="Times New Roman" w:eastAsia="Times New Roman"/>
                <w:b w:val="0"/>
                <w:i w:val="0"/>
                <w:sz w:val="19"/>
              </w:rPr>
              <w:t>Rendimiento en consultas</w:t>
            </w:r>
          </w:p>
        </w:tc>
        <w:tc>
          <w:tcPr>
            <w:tcW w:type="dxa" w:w="2340"/>
            <w:vAlign w:val="center"/>
          </w:tcPr>
          <w:p>
            <w:pPr>
              <w:jc w:val="left"/>
            </w:pPr>
            <w:r/>
            <w:r>
              <w:rPr>
                <w:rFonts w:ascii="Times New Roman" w:hAnsi="Times New Roman" w:eastAsia="Times New Roman"/>
                <w:b w:val="0"/>
                <w:i w:val="0"/>
                <w:sz w:val="19"/>
              </w:rPr>
              <w:t>Las búsquedas de historial y órdenes cargan en menos de dos segundos.</w:t>
            </w:r>
          </w:p>
        </w:tc>
        <w:tc>
          <w:tcPr>
            <w:tcW w:type="dxa" w:w="2340"/>
            <w:vAlign w:val="center"/>
          </w:tcPr>
          <w:p>
            <w:pPr>
              <w:jc w:val="left"/>
            </w:pPr>
            <w:r/>
            <w:r>
              <w:rPr>
                <w:rFonts w:ascii="Times New Roman" w:hAnsi="Times New Roman" w:eastAsia="Times New Roman"/>
                <w:b w:val="0"/>
                <w:i w:val="0"/>
                <w:sz w:val="19"/>
              </w:rPr>
              <w:t>Media</w:t>
            </w:r>
          </w:p>
        </w:tc>
      </w:tr>
      <w:tr>
        <w:tc>
          <w:tcPr>
            <w:tcW w:type="dxa" w:w="2340"/>
            <w:vAlign w:val="center"/>
          </w:tcPr>
          <w:p>
            <w:pPr>
              <w:jc w:val="left"/>
            </w:pPr>
            <w:r/>
            <w:r>
              <w:rPr>
                <w:rFonts w:ascii="Times New Roman" w:hAnsi="Times New Roman" w:eastAsia="Times New Roman"/>
                <w:b w:val="0"/>
                <w:i w:val="0"/>
                <w:sz w:val="19"/>
              </w:rPr>
              <w:t>RNF-4</w:t>
            </w:r>
          </w:p>
        </w:tc>
        <w:tc>
          <w:tcPr>
            <w:tcW w:type="dxa" w:w="2340"/>
            <w:vAlign w:val="center"/>
          </w:tcPr>
          <w:p>
            <w:pPr>
              <w:jc w:val="left"/>
            </w:pPr>
            <w:r/>
            <w:r>
              <w:rPr>
                <w:rFonts w:ascii="Times New Roman" w:hAnsi="Times New Roman" w:eastAsia="Times New Roman"/>
                <w:b w:val="0"/>
                <w:i w:val="0"/>
                <w:sz w:val="19"/>
              </w:rPr>
              <w:t>Cifrado de comunicaciones y API</w:t>
            </w:r>
          </w:p>
        </w:tc>
        <w:tc>
          <w:tcPr>
            <w:tcW w:type="dxa" w:w="2340"/>
            <w:vAlign w:val="center"/>
          </w:tcPr>
          <w:p>
            <w:pPr>
              <w:jc w:val="left"/>
            </w:pPr>
            <w:r/>
            <w:r>
              <w:rPr>
                <w:rFonts w:ascii="Times New Roman" w:hAnsi="Times New Roman" w:eastAsia="Times New Roman"/>
                <w:b w:val="0"/>
                <w:i w:val="0"/>
                <w:sz w:val="19"/>
              </w:rPr>
              <w:t>Las peticiones usan HTTPS y las credenciales se almacenan en variables de entorno.</w:t>
            </w:r>
          </w:p>
        </w:tc>
        <w:tc>
          <w:tcPr>
            <w:tcW w:type="dxa" w:w="2340"/>
            <w:vAlign w:val="center"/>
          </w:tcPr>
          <w:p>
            <w:pPr>
              <w:jc w:val="left"/>
            </w:pPr>
            <w:r/>
            <w:r>
              <w:rPr>
                <w:rFonts w:ascii="Times New Roman" w:hAnsi="Times New Roman" w:eastAsia="Times New Roman"/>
                <w:b w:val="0"/>
                <w:i w:val="0"/>
                <w:sz w:val="19"/>
              </w:rPr>
              <w:t>Alta</w:t>
            </w:r>
          </w:p>
        </w:tc>
      </w:tr>
      <w:tr>
        <w:tc>
          <w:tcPr>
            <w:tcW w:type="dxa" w:w="2340"/>
            <w:vAlign w:val="center"/>
          </w:tcPr>
          <w:p>
            <w:pPr>
              <w:jc w:val="left"/>
            </w:pPr>
            <w:r/>
            <w:r>
              <w:rPr>
                <w:rFonts w:ascii="Times New Roman" w:hAnsi="Times New Roman" w:eastAsia="Times New Roman"/>
                <w:b w:val="0"/>
                <w:i w:val="0"/>
                <w:sz w:val="19"/>
              </w:rPr>
              <w:t>RNF-5</w:t>
            </w:r>
          </w:p>
        </w:tc>
        <w:tc>
          <w:tcPr>
            <w:tcW w:type="dxa" w:w="2340"/>
            <w:vAlign w:val="center"/>
          </w:tcPr>
          <w:p>
            <w:pPr>
              <w:jc w:val="left"/>
            </w:pPr>
            <w:r/>
            <w:r>
              <w:rPr>
                <w:rFonts w:ascii="Times New Roman" w:hAnsi="Times New Roman" w:eastAsia="Times New Roman"/>
                <w:b w:val="0"/>
                <w:i w:val="0"/>
                <w:sz w:val="19"/>
              </w:rPr>
              <w:t>Interfaz de usuario premium</w:t>
            </w:r>
          </w:p>
        </w:tc>
        <w:tc>
          <w:tcPr>
            <w:tcW w:type="dxa" w:w="2340"/>
            <w:vAlign w:val="center"/>
          </w:tcPr>
          <w:p>
            <w:pPr>
              <w:jc w:val="left"/>
            </w:pPr>
            <w:r/>
            <w:r>
              <w:rPr>
                <w:rFonts w:ascii="Times New Roman" w:hAnsi="Times New Roman" w:eastAsia="Times New Roman"/>
                <w:b w:val="0"/>
                <w:i w:val="0"/>
                <w:sz w:val="19"/>
              </w:rPr>
              <w:t>La aplicación utiliza un diseño oscuro con alto contraste para exteriores.</w:t>
            </w:r>
          </w:p>
        </w:tc>
        <w:tc>
          <w:tcPr>
            <w:tcW w:type="dxa" w:w="2340"/>
            <w:vAlign w:val="center"/>
          </w:tcPr>
          <w:p>
            <w:pPr>
              <w:jc w:val="left"/>
            </w:pPr>
            <w:r/>
            <w:r>
              <w:rPr>
                <w:rFonts w:ascii="Times New Roman" w:hAnsi="Times New Roman" w:eastAsia="Times New Roman"/>
                <w:b w:val="0"/>
                <w:i w:val="0"/>
                <w:sz w:val="19"/>
              </w:rPr>
              <w:t>Media</w:t>
            </w:r>
          </w:p>
        </w:tc>
      </w:tr>
      <w:tr>
        <w:tc>
          <w:tcPr>
            <w:tcW w:type="dxa" w:w="2340"/>
            <w:vAlign w:val="center"/>
          </w:tcPr>
          <w:p>
            <w:pPr>
              <w:jc w:val="left"/>
            </w:pPr>
            <w:r/>
            <w:r>
              <w:rPr>
                <w:rFonts w:ascii="Times New Roman" w:hAnsi="Times New Roman" w:eastAsia="Times New Roman"/>
                <w:b w:val="0"/>
                <w:i w:val="0"/>
                <w:sz w:val="19"/>
              </w:rPr>
              <w:t>RNF-6</w:t>
            </w:r>
          </w:p>
        </w:tc>
        <w:tc>
          <w:tcPr>
            <w:tcW w:type="dxa" w:w="2340"/>
            <w:vAlign w:val="center"/>
          </w:tcPr>
          <w:p>
            <w:pPr>
              <w:jc w:val="left"/>
            </w:pPr>
            <w:r/>
            <w:r>
              <w:rPr>
                <w:rFonts w:ascii="Times New Roman" w:hAnsi="Times New Roman" w:eastAsia="Times New Roman"/>
                <w:b w:val="0"/>
                <w:i w:val="0"/>
                <w:sz w:val="19"/>
              </w:rPr>
              <w:t>Persistencia estática</w:t>
            </w:r>
          </w:p>
        </w:tc>
        <w:tc>
          <w:tcPr>
            <w:tcW w:type="dxa" w:w="2340"/>
            <w:vAlign w:val="center"/>
          </w:tcPr>
          <w:p>
            <w:pPr>
              <w:jc w:val="left"/>
            </w:pPr>
            <w:r/>
            <w:r>
              <w:rPr>
                <w:rFonts w:ascii="Times New Roman" w:hAnsi="Times New Roman" w:eastAsia="Times New Roman"/>
                <w:b w:val="0"/>
                <w:i w:val="0"/>
                <w:sz w:val="19"/>
              </w:rPr>
              <w:t>El service worker conserva en caché los recursos estáticos del sistema.</w:t>
            </w:r>
          </w:p>
        </w:tc>
        <w:tc>
          <w:tcPr>
            <w:tcW w:type="dxa" w:w="2340"/>
            <w:vAlign w:val="center"/>
          </w:tcPr>
          <w:p>
            <w:pPr>
              <w:jc w:val="left"/>
            </w:pPr>
            <w:r/>
            <w:r>
              <w:rPr>
                <w:rFonts w:ascii="Times New Roman" w:hAnsi="Times New Roman" w:eastAsia="Times New Roman"/>
                <w:b w:val="0"/>
                <w:i w:val="0"/>
                <w:sz w:val="19"/>
              </w:rPr>
              <w:t>Alta</w:t>
            </w:r>
          </w:p>
        </w:tc>
      </w:tr>
    </w:tbl>
    <w:p/>
    <w:p>
      <w:pPr>
        <w:spacing w:line="360" w:lineRule="auto" w:after="120"/>
        <w:jc w:val="both"/>
      </w:pPr>
      <w:r>
        <w:rPr>
          <w:rFonts w:ascii="Times New Roman" w:hAnsi="Times New Roman" w:eastAsia="Times New Roman"/>
          <w:b w:val="0"/>
          <w:i w:val="0"/>
          <w:sz w:val="24"/>
        </w:rPr>
        <w:t>La combinación de los requerimientos funcionales y no funcionales define la implementación porque establece qué operaciones se desarrollan y bajo qué condiciones técnicas se ejecutan. Con esta base se construye la propuesta, sin convertir esta parte del capítulo en una lista de ventajas, sino en una descripción estricta de los componentes que integran la solución.</w:t>
      </w:r>
    </w:p>
    <w:p>
      <w:pPr>
        <w:spacing w:line="360" w:lineRule="auto" w:after="120"/>
        <w:jc w:val="center"/>
      </w:pPr>
      <w:r>
        <w:rPr>
          <w:rFonts w:ascii="Times New Roman" w:hAnsi="Times New Roman" w:eastAsia="Times New Roman"/>
          <w:b w:val="0"/>
          <w:i/>
          <w:sz w:val="22"/>
        </w:rPr>
        <w:t>[ESPACIO PARA FIGURA 2. Diagrama de diagnóstico técnico de necesidades y alcance funcional.]</w:t>
      </w:r>
    </w:p>
    <w:p>
      <w:pPr>
        <w:spacing w:line="360" w:lineRule="auto" w:after="120"/>
        <w:jc w:val="center"/>
      </w:pPr>
      <w:r>
        <w:rPr>
          <w:rFonts w:ascii="Times New Roman" w:hAnsi="Times New Roman" w:eastAsia="Times New Roman"/>
          <w:b w:val="0"/>
          <w:i/>
          <w:sz w:val="22"/>
        </w:rPr>
        <w:t>[ESPACIO PARA FIGURA 3. Flujo funcional del diseño del sistema.]</w:t>
      </w:r>
    </w:p>
    <w:p>
      <w:pPr>
        <w:spacing w:line="360" w:lineRule="auto" w:after="120"/>
        <w:jc w:val="center"/>
      </w:pPr>
      <w:r>
        <w:rPr>
          <w:rFonts w:ascii="Times New Roman" w:hAnsi="Times New Roman" w:eastAsia="Times New Roman"/>
          <w:b w:val="0"/>
          <w:i/>
          <w:sz w:val="22"/>
        </w:rPr>
        <w:t>[ESPACIO PARA FIGURA 4. Tabla resumen de requerimientos, prioridades y relación con los módulos del sistema.]</w:t>
      </w:r>
    </w:p>
    <w:p>
      <w:pPr>
        <w:spacing w:before="240" w:after="120"/>
        <w:jc w:val="left"/>
      </w:pPr>
      <w:r>
        <w:rPr>
          <w:rFonts w:ascii="Times New Roman" w:hAnsi="Times New Roman" w:eastAsia="Times New Roman"/>
          <w:b/>
          <w:i w:val="0"/>
          <w:sz w:val="26"/>
        </w:rPr>
        <w:t>3.2.1 diseño detallado de la base de datos en supabase (postgresql)</w:t>
      </w:r>
    </w:p>
    <w:p>
      <w:pPr>
        <w:spacing w:line="360" w:lineRule="auto" w:after="120"/>
        <w:jc w:val="both"/>
      </w:pPr>
      <w:r>
        <w:rPr>
          <w:rFonts w:ascii="Times New Roman" w:hAnsi="Times New Roman" w:eastAsia="Times New Roman"/>
          <w:b w:val="0"/>
          <w:i w:val="0"/>
          <w:sz w:val="24"/>
        </w:rPr>
        <w:t>La base de datos constituye el núcleo de la implementación porque define la forma en que se conserva el expediente completo de cada orden de servicio. La solución se aloja en Supabase y utiliza el motor relacional PostgreSQL debido a que esta combinación mantiene integridad referencial, soporta tipos temporales, maneja restricciones de validación y permite activar Row Level Security (RLS) sin requerir un servidor de base de datos administrado de forma manual. En este esquema, la persistencia no depende de archivos aislados ni de estructuras planas, sino de tablas relacionadas que representan usuarios, clientes, órdenes, evidencias, ubicaciones y observaciones.</w:t>
      </w:r>
      <w:r>
        <w:br/>
      </w:r>
      <w:r>
        <w:rPr>
          <w:rFonts w:ascii="Times New Roman" w:hAnsi="Times New Roman" w:eastAsia="Times New Roman"/>
          <w:b w:val="0"/>
          <w:i w:val="0"/>
          <w:sz w:val="24"/>
        </w:rPr>
      </w:r>
      <w:r>
        <w:br/>
      </w:r>
      <w:r>
        <w:rPr>
          <w:rFonts w:ascii="Times New Roman" w:hAnsi="Times New Roman" w:eastAsia="Times New Roman"/>
          <w:b w:val="0"/>
          <w:i w:val="0"/>
          <w:sz w:val="24"/>
        </w:rPr>
        <w:t>La primera tabla corresponde a `profiles`, que almacena los perfiles extendidos de los usuarios autenticados. Su llave primaria `id` referencia directamente a `auth.users(id)` para que cada cuenta de Supabase Auth conserve un registro paralelo en la base pública. El campo `email` conserva la dirección de correo, `name` almacena el nombre completo recuperado desde los metadatos del usuario, `role` delimita el acceso lógico entre administrador y técnico, y `created_at` registra la fecha de alta. Esta tabla no se usa solo como catálogo de nombres; también funciona como capa de autorización porque el rol asignado determina qué consultas puede ejecutar cada sesión.</w:t>
      </w:r>
      <w:r>
        <w:br/>
      </w:r>
      <w:r>
        <w:rPr>
          <w:rFonts w:ascii="Times New Roman" w:hAnsi="Times New Roman" w:eastAsia="Times New Roman"/>
          <w:b w:val="0"/>
          <w:i w:val="0"/>
          <w:sz w:val="24"/>
        </w:rPr>
      </w:r>
      <w:r>
        <w:br/>
      </w:r>
      <w:r>
        <w:rPr>
          <w:rFonts w:ascii="Times New Roman" w:hAnsi="Times New Roman" w:eastAsia="Times New Roman"/>
          <w:b w:val="0"/>
          <w:i w:val="0"/>
          <w:sz w:val="24"/>
        </w:rPr>
        <w:t>La tabla `clients` concentra la identidad operativa de cada solicitante del servicio. El campo `id` se genera con `gen_random_uuid()` para evitar colisiones y permitir inserciones distribuidas. Los campos `name`, `phone` y `created_at` son suficientes para asociar una orden de servicio con su origen, por lo que la tabla permanece ligera y evita mezclar datos de negocio con datos de acceso. Esta separación reduce la redundancia, porque la información del cliente se reutiliza en varias órdenes sin volver a capturar la misma razón social o teléfono.</w:t>
      </w:r>
      <w:r>
        <w:br/>
      </w:r>
      <w:r>
        <w:rPr>
          <w:rFonts w:ascii="Times New Roman" w:hAnsi="Times New Roman" w:eastAsia="Times New Roman"/>
          <w:b w:val="0"/>
          <w:i w:val="0"/>
          <w:sz w:val="24"/>
        </w:rPr>
      </w:r>
      <w:r>
        <w:br/>
      </w:r>
      <w:r>
        <w:rPr>
          <w:rFonts w:ascii="Times New Roman" w:hAnsi="Times New Roman" w:eastAsia="Times New Roman"/>
          <w:b w:val="0"/>
          <w:i w:val="0"/>
          <w:sz w:val="24"/>
        </w:rPr>
        <w:t>La tabla `service_orders` actúa como cabecera del flujo operativo. Su llave primaria `id` identifica de manera única cada orden, `client_id` enlaza el servicio con el cliente que lo solicita, `technician_id` referencia al técnico responsable de su ejecución, `status` controla el estado del flujo, `scheduled_at` conserva la fecha y hora programada, `description` almacena el detalle del trabajo y `created_at` mantiene el registro temporal de apertura. Los estados permitidos se restringen mediante una validación `CHECK` para evitar valores fuera de la secuencia operacional definida por el sistema: Pendiente, Asignada, En progreso, Completada y Cancelada.</w:t>
      </w:r>
      <w:r>
        <w:br/>
      </w:r>
      <w:r>
        <w:rPr>
          <w:rFonts w:ascii="Times New Roman" w:hAnsi="Times New Roman" w:eastAsia="Times New Roman"/>
          <w:b w:val="0"/>
          <w:i w:val="0"/>
          <w:sz w:val="24"/>
        </w:rPr>
      </w:r>
      <w:r>
        <w:br/>
      </w:r>
      <w:r>
        <w:rPr>
          <w:rFonts w:ascii="Times New Roman" w:hAnsi="Times New Roman" w:eastAsia="Times New Roman"/>
          <w:b w:val="0"/>
          <w:i w:val="0"/>
          <w:sz w:val="24"/>
        </w:rPr>
        <w:t>La tabla `evidences` conserva las imágenes de referencia y las evidencias capturadas durante la ejecución. Su campo `order_id` vincula cada fotografía con una orden concreta, `url` guarda la dirección pública del archivo almacenado, `is_reference` distingue entre una imagen de apoyo cargada por administración y una fotografía tomada en campo por el técnico, y `created_at` registra el momento en que se almacena el recurso. Esta separación permite mantener el archivo binario fuera de la tabla principal, mientras el dato relacional conserva la asociación con el expediente.</w:t>
      </w:r>
      <w:r>
        <w:br/>
      </w:r>
      <w:r>
        <w:rPr>
          <w:rFonts w:ascii="Times New Roman" w:hAnsi="Times New Roman" w:eastAsia="Times New Roman"/>
          <w:b w:val="0"/>
          <w:i w:val="0"/>
          <w:sz w:val="24"/>
        </w:rPr>
      </w:r>
      <w:r>
        <w:br/>
      </w:r>
      <w:r>
        <w:rPr>
          <w:rFonts w:ascii="Times New Roman" w:hAnsi="Times New Roman" w:eastAsia="Times New Roman"/>
          <w:b w:val="0"/>
          <w:i w:val="0"/>
          <w:sz w:val="24"/>
        </w:rPr>
        <w:t>La tabla `locations` registra las coordenadas geográficas del proceso. El identificador `order_id` asocia cada punto con su orden correspondiente, `latitude` y `longitude` guardan la posición numérica, `address` almacena la dirección legible obtenida por geocodificación, `is_target` diferencia la ubicación destino definida por el administrador de la ubicación real reportada por el técnico, y `recorded_at` preserva la marca temporal. Esta estructura hace posible comparar el punto programado con el punto de cierre sin recurrir a campos ambiguos.</w:t>
      </w:r>
      <w:r>
        <w:br/>
      </w:r>
      <w:r>
        <w:rPr>
          <w:rFonts w:ascii="Times New Roman" w:hAnsi="Times New Roman" w:eastAsia="Times New Roman"/>
          <w:b w:val="0"/>
          <w:i w:val="0"/>
          <w:sz w:val="24"/>
        </w:rPr>
      </w:r>
      <w:r>
        <w:br/>
      </w:r>
      <w:r>
        <w:rPr>
          <w:rFonts w:ascii="Times New Roman" w:hAnsi="Times New Roman" w:eastAsia="Times New Roman"/>
          <w:b w:val="0"/>
          <w:i w:val="0"/>
          <w:sz w:val="24"/>
        </w:rPr>
        <w:t>La tabla `observations` concentra el cierre textual del servicio. Su llave foránea `order_id` la enlaza con la orden a la que pertenece, `comment` registra la observación técnica y `created_at` mantiene la secuencia temporal. Esta tabla funciona como bitácora mínima de validación porque obliga a conservar una descripción de la intervención junto con la evidencia visual y la ubicación registrada.</w:t>
      </w:r>
      <w:r>
        <w:br/>
      </w:r>
      <w:r>
        <w:rPr>
          <w:rFonts w:ascii="Times New Roman" w:hAnsi="Times New Roman" w:eastAsia="Times New Roman"/>
          <w:b w:val="0"/>
          <w:i w:val="0"/>
          <w:sz w:val="24"/>
        </w:rPr>
      </w:r>
      <w:r>
        <w:br/>
      </w:r>
      <w:r>
        <w:rPr>
          <w:rFonts w:ascii="Times New Roman" w:hAnsi="Times New Roman" w:eastAsia="Times New Roman"/>
          <w:b w:val="0"/>
          <w:i w:val="0"/>
          <w:sz w:val="24"/>
        </w:rPr>
        <w:t>La implementación física inicia con la declaración de extensiones y la creación de tablas mediante DDL. Primero se habilita la extensión para UUIDs, después se definen las relaciones entre tablas y finalmente se activan las restricciones que gobiernan estados y borrados en cascada. El esquema se construye en una secuencia ordenada que evita inconsistencias porque cada entidad existe antes de ser referenciada por una llave foránea. El modelo se plasma en seis sentencias `create table`, una por cada entidad principal, y el orden de construcción respeta la dependencia entre perfiles, clientes, órdenes y registros dependientes.</w:t>
      </w:r>
      <w:r>
        <w:br/>
      </w:r>
      <w:r>
        <w:rPr>
          <w:rFonts w:ascii="Times New Roman" w:hAnsi="Times New Roman" w:eastAsia="Times New Roman"/>
          <w:b w:val="0"/>
          <w:i w:val="0"/>
          <w:sz w:val="24"/>
        </w:rPr>
      </w:r>
      <w:r>
        <w:br/>
      </w:r>
      <w:r>
        <w:rPr>
          <w:rFonts w:ascii="Times New Roman" w:hAnsi="Times New Roman" w:eastAsia="Times New Roman"/>
          <w:b w:val="0"/>
          <w:i w:val="0"/>
          <w:sz w:val="24"/>
        </w:rPr>
        <w:t>Una vez que el esquema existe, el recorrido del dato sigue una ruta predecible. La interfaz captura el formulario, el cliente de Supabase serializa la petición y PostgreSQL almacena el registro en la tabla correspondiente. Si la captura corresponde a una orden, el dato base entra primero en `service_orders`; si corresponde a evidencia, la referencia se guarda en `evidences`; si corresponde a ubicación, se persiste en `locations`; y si corresponde a observación, se escribe en `observations`. Cada paso conserva la llave de la orden para que la trazabilidad no se rompa en ningún punto.</w:t>
      </w:r>
      <w:r>
        <w:br/>
      </w:r>
      <w:r>
        <w:rPr>
          <w:rFonts w:ascii="Times New Roman" w:hAnsi="Times New Roman" w:eastAsia="Times New Roman"/>
          <w:b w:val="0"/>
          <w:i w:val="0"/>
          <w:sz w:val="24"/>
        </w:rPr>
      </w:r>
      <w:r>
        <w:br/>
      </w:r>
      <w:r>
        <w:rPr>
          <w:rFonts w:ascii="Times New Roman" w:hAnsi="Times New Roman" w:eastAsia="Times New Roman"/>
          <w:b w:val="0"/>
          <w:i w:val="0"/>
          <w:sz w:val="24"/>
        </w:rPr>
        <w:t>La automatización de perfiles se resuelve mediante una función `PL/pgSQL` y un disparador que escucha la inserción de usuarios en `auth.users`. Cuando Supabase Auth registra una cuenta nueva, la función inserta un perfil en `public.profiles` con el `id` del usuario, el correo, el nombre y el rol extraído de los metadatos. Si el rol no existe, el sistema asigna por defecto `tecnico`, con lo que la cuenta queda sincronizada entre la base de autenticación y la base pública sin requerir captura manual adicional. La lógica del disparador se resume en la función `handle_new_user()` y en el trigger `on_auth_user_created`.</w:t>
      </w:r>
      <w:r>
        <w:br/>
      </w:r>
      <w:r>
        <w:rPr>
          <w:rFonts w:ascii="Times New Roman" w:hAnsi="Times New Roman" w:eastAsia="Times New Roman"/>
          <w:b w:val="0"/>
          <w:i w:val="0"/>
          <w:sz w:val="24"/>
        </w:rPr>
      </w:r>
      <w:r>
        <w:br/>
      </w:r>
      <w:r>
        <w:rPr>
          <w:rFonts w:ascii="Times New Roman" w:hAnsi="Times New Roman" w:eastAsia="Times New Roman"/>
          <w:b w:val="0"/>
          <w:i w:val="0"/>
          <w:sz w:val="24"/>
        </w:rPr>
        <w:t>La seguridad por fila complementa la autenticación porque traslada la decisión de acceso al motor de base de datos. Primero se habilita RLS en cada tabla sensible; después se crean políticas que comparan `auth.uid()` con la llave del usuario o con la llave del técnico asignado; finalmente el JWT emitido por Supabase Auth acompaña cada consulta y PostgreSQL evalúa si la sesión activa puede leer o modificar la fila. En consecuencia, la interfaz no es la única barrera de protección: la base de datos también verifica la autorización antes de ejecutar cualquier operación.</w:t>
      </w:r>
      <w:r>
        <w:br/>
      </w:r>
      <w:r>
        <w:rPr>
          <w:rFonts w:ascii="Times New Roman" w:hAnsi="Times New Roman" w:eastAsia="Times New Roman"/>
          <w:b w:val="0"/>
          <w:i w:val="0"/>
          <w:sz w:val="24"/>
        </w:rPr>
      </w:r>
      <w:r>
        <w:br/>
      </w:r>
      <w:r>
        <w:rPr>
          <w:rFonts w:ascii="Times New Roman" w:hAnsi="Times New Roman" w:eastAsia="Times New Roman"/>
          <w:b w:val="0"/>
          <w:i w:val="0"/>
          <w:sz w:val="24"/>
        </w:rPr>
        <w:t>La implementación técnica de las tablas, del disparador y de las políticas se sostiene en los bloques SQL declarados en el manual maestro, que contienen la extensión para UUIDs, la creación de `profiles`, `clients`, `service_orders`, `evidences`, `locations` y `observations`, la función de sincronización de usuarios y el conjunto de políticas RLS que regulan lectura, inserción, actualización y borrado según el rol de la sesión. Esa documentación técnica se integra al informe como evidencia de construcción y como base para reproducir el diseño en un entorno equivalente.</w:t>
      </w:r>
      <w:r>
        <w:br/>
      </w:r>
      <w:r>
        <w:rPr>
          <w:rFonts w:ascii="Times New Roman" w:hAnsi="Times New Roman" w:eastAsia="Times New Roman"/>
          <w:b w:val="0"/>
          <w:i w:val="0"/>
          <w:sz w:val="24"/>
        </w:rPr>
      </w:r>
      <w:r>
        <w:br/>
      </w:r>
      <w:r>
        <w:rPr>
          <w:rFonts w:ascii="Times New Roman" w:hAnsi="Times New Roman" w:eastAsia="Times New Roman"/>
          <w:b w:val="0"/>
          <w:i w:val="0"/>
          <w:sz w:val="24"/>
        </w:rPr>
        <w:t>[ESPACIO PARA FIGURA 5. Modelo entidad-relación de la base de datos y captura de tablas en Supabase.]</w:t>
      </w:r>
    </w:p>
    <w:p>
      <w:pPr>
        <w:spacing w:line="360" w:lineRule="auto" w:after="120"/>
        <w:jc w:val="both"/>
      </w:pPr>
      <w:r>
        <w:rPr>
          <w:rFonts w:ascii="Times New Roman" w:hAnsi="Times New Roman" w:eastAsia="Times New Roman"/>
          <w:b w:val="0"/>
          <w:i w:val="0"/>
          <w:sz w:val="24"/>
        </w:rPr>
        <w:t>La implementación técnica de esta base de datos se resume en la secuencia `create extension`, `create table`, `handle_new_user()` y políticas RLS; con esa cadena, la persistencia queda normalizada, los perfiles se sincronizan de forma automática y el motor de datos valida el acceso antes de ejecutar cualquier consulta.</w:t>
      </w:r>
    </w:p>
    <w:p>
      <w:pPr>
        <w:spacing w:line="360" w:lineRule="auto" w:after="120"/>
        <w:jc w:val="center"/>
      </w:pPr>
      <w:r>
        <w:rPr>
          <w:rFonts w:ascii="Times New Roman" w:hAnsi="Times New Roman" w:eastAsia="Times New Roman"/>
          <w:b w:val="0"/>
          <w:i/>
          <w:sz w:val="22"/>
        </w:rPr>
        <w:t>[ESPACIO PARA FIGURA 5. Modelo entidad-relación de la base de datos y captura de tablas en Supabase.]</w:t>
      </w:r>
    </w:p>
    <w:p>
      <w:pPr>
        <w:spacing w:before="240" w:after="120"/>
        <w:jc w:val="left"/>
      </w:pPr>
      <w:r>
        <w:rPr>
          <w:rFonts w:ascii="Times New Roman" w:hAnsi="Times New Roman" w:eastAsia="Times New Roman"/>
          <w:b/>
          <w:i w:val="0"/>
          <w:sz w:val="26"/>
        </w:rPr>
        <w:t>3.2.2 arquitectura general y estructura del código fuente (frontend vite)</w:t>
      </w:r>
    </w:p>
    <w:p>
      <w:pPr>
        <w:spacing w:line="360" w:lineRule="auto" w:after="120"/>
        <w:jc w:val="both"/>
      </w:pPr>
      <w:r>
        <w:t>La arquitectura del proyecto se organiza a partir de una separación clara entre la interfaz del navegador, las capas de servicio y los módulos de acceso a datos. El frontend se construye con Vite, React y TypeScript para que la compilación sea rápida, el empaquetado sea liviano y el código conserve tipado estático durante el desarrollo. Esta combinación encaja con el requerimiento de responsividad y con la necesidad de mantener un proyecto modular en el que las vistas, los servicios y la autenticación no queden mezclados en un único archivo monolítico.</w:t>
        <w:br/>
        <w:br/>
        <w:t>La estructura de directorios se divide en `context`, `components`, `lib` y `pages` porque cada carpeta resuelve una responsabilidad distinta. En `context` se concentra el estado global de sesión, en `components` se agrupan piezas reutilizables de interfaz, en `lib` se colocan los clientes y utilidades de acceso a datos, y en `pages` se ubican las vistas completas del sistema. Esta partición evita la duplicación de lógica y facilita que cada módulo mantenga una dependencia explícita con el resto del sistema. El punto de entrada `main.tsx` carga la aplicación, `App.tsx` define las rutas principales y `index.css` conserva la configuración de estilos comunes y las adaptaciones visuales de los componentes externos.</w:t>
        <w:br/>
        <w:br/>
        <w:t>El árbol del proyecto se lee de manera funcional y no solo estética. El archivo `supabase.ts` inicializa el cliente con las variables de entorno para que la conexión no quede fija en el código fuente. `AuthContext.tsx` escucha la sesión activa y almacena el perfil del usuario. `ProtectedRoute.tsx` actúa como compuerta de navegación para impedir que una ruta privada se abra sin autenticación. Las páginas administrativas y técnicas consumen estos recursos compartidos y solo se concentran en el comportamiento de la interfaz.</w:t>
        <w:br/>
        <w:br/>
        <w:t>La configuración del compilador de TypeScript también forma parte de la implementación porque determina la forma en que el código pasa a producción. La opción `"verbatimModuleSyntax": true` obliga a que las importaciones de tipos se declaren con `import type`, de modo que el compilador separe lo que existe solo en tiempo de análisis estático de lo que realmente debe llegar al navegador. Esta decisión reduce ruido en el bundle final y evita que el empaquetado arrastre referencias vacías relacionadas únicamente con anotaciones de tipos.</w:t>
        <w:br/>
        <w:br/>
        <w:t>La inicialización del frontend ocurre cuando Vite levanta el servidor de desarrollo o genera el paquete de producción. En ese punto, el navegador descarga el punto de entrada, React monta el árbol de componentes y los módulos de Supabase quedan listos para resolver autenticación y consultas. La comunicación entre capas se mantiene por promesas y eventos asíncronos, de forma que la interfaz no se bloquea mientras se consultan los datos remotos.</w:t>
        <w:br/>
        <w:br/>
        <w:t>La disposición de carpetas y archivos se documenta en la siguiente estructura de referencia:</w:t>
        <w:br/>
        <w:br/>
        <w:t>```text</w:t>
        <w:br/>
        <w:t>/estadias-prod</w:t>
        <w:br/>
        <w:t>├── .env</w:t>
        <w:br/>
        <w:t>├── index.html</w:t>
        <w:br/>
        <w:t>├── package.json</w:t>
        <w:br/>
        <w:t>├── vite.config.ts</w:t>
        <w:br/>
        <w:t>├── schema.sql</w:t>
        <w:br/>
        <w:t>├── src</w:t>
        <w:br/>
        <w:t>│   ├── main.tsx</w:t>
        <w:br/>
        <w:t>│   ├── App.tsx</w:t>
        <w:br/>
        <w:t>│   ├── App.css</w:t>
        <w:br/>
        <w:t>│   ├── index.css</w:t>
        <w:br/>
        <w:t>│   ├── components</w:t>
        <w:br/>
        <w:t>│   │   ├── Navbar.tsx</w:t>
        <w:br/>
        <w:t>│   │   └── ProtectedRoute.tsx</w:t>
        <w:br/>
        <w:t>│   ├── context</w:t>
        <w:br/>
        <w:t>│   │   └── AuthContext.tsx</w:t>
        <w:br/>
        <w:t>│   ├── lib</w:t>
        <w:br/>
        <w:t>│   │   └── supabase.ts</w:t>
        <w:br/>
        <w:t>│   └── pages</w:t>
        <w:br/>
        <w:t>│       ├── Login.tsx</w:t>
        <w:br/>
        <w:t>│       ├── admin</w:t>
        <w:br/>
        <w:t>│       │   ├── Dashboard.tsx</w:t>
        <w:br/>
        <w:t>│       │   ├── Clients.tsx</w:t>
        <w:br/>
        <w:t>│       │   └── OrderForm.tsx</w:t>
        <w:br/>
        <w:t>│       └── tech</w:t>
        <w:br/>
        <w:t>│           ├── Dashboard.tsx</w:t>
        <w:br/>
        <w:t>│           └── OrderDetail.tsx</w:t>
        <w:br/>
        <w:t>```</w:t>
        <w:br/>
        <w:br/>
        <w:t>El flujo técnico de esta arquitectura inicia con la lectura del archivo `.env`, donde se almacenan la URL del proyecto y la clave pública de Supabase. Después se instancia el cliente de base de datos y autenticación, más tarde se carga el contexto global de sesión, y finalmente se montan las rutas protegidas que separan la experiencia administrativa de la experiencia técnica. Esta secuencia define el arranque del sistema y permite que cada parte del frontend conozca el estado del usuario antes de renderizar contenido sensible.</w:t>
        <w:br/>
        <w:br/>
        <w:t>La comunicación entre la interfaz y la persistencia se realiza mediante interfaces de TypeScript para el tipado de entidades y llamadas asíncronas async/await. Para consultar datos, la vista llama a funciones del servicio lib que consultan el SDK de Supabase (por ejemplo, await supabase.from('clients').select('*').order('name')) y devuelven promesas resueltas en objetos tipados con la estructura de interface Client { id: string; name: string; phone: string; }. Al guardar datos, el componente de React valida los campos obligatorios del estado local (useState) y ejecuta la consulta de Supabase correspondiente (como await supabase.from('service_orders').insert([...]) o update([...]).eq('id', id)). Una vez resuelta la promesa, el componente actualiza el estado para forzar el re-renderizado automático o consulta de nuevo la base de datos, logrando una sincronización ágil y separando de forma clara la presentación de la persistencia.</w:t>
        <w:br/>
        <w:br/>
        <w:t>[ESPACIO PARA FIGURA 6. Estructura general del frontend en Vite, React y TypeScript.]</w:t>
      </w:r>
    </w:p>
    <w:p>
      <w:pPr>
        <w:spacing w:line="360" w:lineRule="auto" w:after="120"/>
        <w:jc w:val="both"/>
      </w:pPr>
      <w:r>
        <w:rPr>
          <w:rFonts w:ascii="Times New Roman" w:hAnsi="Times New Roman" w:eastAsia="Times New Roman"/>
          <w:b w:val="0"/>
          <w:i w:val="0"/>
          <w:sz w:val="24"/>
        </w:rPr>
        <w:t>La configuración de TypeScript usa `verbatimModuleSyntax: true`, lo que obliga a declarar tipos con `import type` y evita que los metadatos de tipado ingresen al bundle compilado. El arranque del frontend ocurre desde `main.tsx`, continúa en `App.tsx` y se apoya en `supabase.ts`, `AuthContext.tsx` y `ProtectedRoute.tsx` para resolver la navegación protegida y la sincronización de sesión.</w:t>
      </w:r>
    </w:p>
    <w:p>
      <w:pPr>
        <w:spacing w:line="360" w:lineRule="auto" w:after="120"/>
        <w:jc w:val="center"/>
      </w:pPr>
      <w:r>
        <w:rPr>
          <w:rFonts w:ascii="Times New Roman" w:hAnsi="Times New Roman" w:eastAsia="Times New Roman"/>
          <w:b w:val="0"/>
          <w:i/>
          <w:sz w:val="22"/>
        </w:rPr>
        <w:t>[ESPACIO PARA FIGURA 6. Estructura general del frontend en Vite, React y TypeScript.]</w:t>
      </w:r>
    </w:p>
    <w:p>
      <w:pPr>
        <w:spacing w:before="240" w:after="120"/>
        <w:jc w:val="left"/>
      </w:pPr>
      <w:r>
        <w:rPr>
          <w:rFonts w:ascii="Times New Roman" w:hAnsi="Times New Roman" w:eastAsia="Times New Roman"/>
          <w:b/>
          <w:i w:val="0"/>
          <w:sz w:val="26"/>
        </w:rPr>
        <w:t>3.2.3 sistema de autenticación y contexto global de acceso (authcontext.tsx)</w:t>
      </w:r>
    </w:p>
    <w:p>
      <w:pPr>
        <w:spacing w:line="360" w:lineRule="auto" w:after="120"/>
        <w:jc w:val="both"/>
      </w:pPr>
      <w:r>
        <w:rPr>
          <w:rFonts w:ascii="Times New Roman" w:hAnsi="Times New Roman" w:eastAsia="Times New Roman"/>
          <w:b w:val="0"/>
          <w:i w:val="0"/>
          <w:sz w:val="24"/>
        </w:rPr>
        <w:t>La autenticación de usuarios se implementa como un contexto global porque la sesión activa debe estar disponible en cualquier parte de la aplicación sin repetir consultas en cada pantalla. `AuthContext.tsx` escucha el estado de sesión mediante `supabase.auth.onAuthStateChange`, lo que permite reaccionar de forma inmediata cuando un usuario inicia o cierra sesión. En cada cambio, el sistema consulta la tabla `profiles` para recuperar el rol, el nombre y el identificador interno que vincula la cuenta con la base pública.</w:t>
      </w:r>
      <w:r>
        <w:br/>
      </w:r>
      <w:r>
        <w:rPr>
          <w:rFonts w:ascii="Times New Roman" w:hAnsi="Times New Roman" w:eastAsia="Times New Roman"/>
          <w:b w:val="0"/>
          <w:i w:val="0"/>
          <w:sz w:val="24"/>
        </w:rPr>
      </w:r>
      <w:r>
        <w:br/>
      </w:r>
      <w:r>
        <w:rPr>
          <w:rFonts w:ascii="Times New Roman" w:hAnsi="Times New Roman" w:eastAsia="Times New Roman"/>
          <w:b w:val="0"/>
          <w:i w:val="0"/>
          <w:sz w:val="24"/>
        </w:rPr>
        <w:t>El flujo de autenticación arranca con el formulario de acceso. El usuario entrega correo y contraseña, Supabase Auth valida las credenciales y devuelve una sesión con JWT. A partir de ese momento, el contexto guarda el objeto del usuario, el perfil extendido y el indicador de carga. Mientras la aplicación todavía resuelve la sesión, la interfaz permanece en estado transitorio; cuando el perfil queda disponible, las rutas privadas pueden pintar el dashboard que corresponde al rol de la cuenta. Ese comportamiento evita que la aplicación muestre pantallas vacías o redireccione antes de tiempo.</w:t>
      </w:r>
      <w:r>
        <w:br/>
      </w:r>
      <w:r>
        <w:rPr>
          <w:rFonts w:ascii="Times New Roman" w:hAnsi="Times New Roman" w:eastAsia="Times New Roman"/>
          <w:b w:val="0"/>
          <w:i w:val="0"/>
          <w:sz w:val="24"/>
        </w:rPr>
      </w:r>
      <w:r>
        <w:br/>
      </w:r>
      <w:r>
        <w:rPr>
          <w:rFonts w:ascii="Times New Roman" w:hAnsi="Times New Roman" w:eastAsia="Times New Roman"/>
          <w:b w:val="0"/>
          <w:i w:val="0"/>
          <w:sz w:val="24"/>
        </w:rPr>
        <w:t>La separación entre autenticación y autorización también se implementa de forma explícita. La autenticación verifica identidad; la autorización decide qué acciones quedan disponibles para cada perfil. En ese punto, el rol guardado en `profiles` se vuelve decisivo porque determina si el usuario entra al panel administrativo o a la vista técnica. El contexto no solo guarda datos: también mantiene sincronizada la sesión con las rutas y con los componentes visuales que dependen de ella.</w:t>
      </w:r>
      <w:r>
        <w:br/>
      </w:r>
      <w:r>
        <w:rPr>
          <w:rFonts w:ascii="Times New Roman" w:hAnsi="Times New Roman" w:eastAsia="Times New Roman"/>
          <w:b w:val="0"/>
          <w:i w:val="0"/>
          <w:sz w:val="24"/>
        </w:rPr>
      </w:r>
      <w:r>
        <w:br/>
      </w:r>
      <w:r>
        <w:rPr>
          <w:rFonts w:ascii="Times New Roman" w:hAnsi="Times New Roman" w:eastAsia="Times New Roman"/>
          <w:b w:val="0"/>
          <w:i w:val="0"/>
          <w:sz w:val="24"/>
        </w:rPr>
        <w:t>`ProtectedRoute.tsx` funciona como una compuerta asincrónica. El componente revisa tres estados: si la sesión aún se carga, si no existe usuario autenticado y si el rol pertenece al conjunto autorizado para esa ruta. Cuando la sesión sigue en proceso, la interfaz presenta un estado de espera; cuando no existe usuario, la ruta redirige al acceso; cuando el rol no coincide, la navegación retorna al panel principal o a la pantalla permitida. Esta lógica previene accesos manuales modificando la URL y conserva la coherencia entre lo que ve el usuario y lo que permiten las políticas de la base de datos.</w:t>
      </w:r>
      <w:r>
        <w:br/>
      </w:r>
      <w:r>
        <w:rPr>
          <w:rFonts w:ascii="Times New Roman" w:hAnsi="Times New Roman" w:eastAsia="Times New Roman"/>
          <w:b w:val="0"/>
          <w:i w:val="0"/>
          <w:sz w:val="24"/>
        </w:rPr>
      </w:r>
      <w:r>
        <w:br/>
      </w:r>
      <w:r>
        <w:rPr>
          <w:rFonts w:ascii="Times New Roman" w:hAnsi="Times New Roman" w:eastAsia="Times New Roman"/>
          <w:b w:val="0"/>
          <w:i w:val="0"/>
          <w:sz w:val="24"/>
        </w:rPr>
        <w:t>El funcionamiento interno del guardia de rutas se expresa de la siguiente manera:</w:t>
      </w:r>
      <w:r>
        <w:br/>
      </w:r>
      <w:r>
        <w:rPr>
          <w:rFonts w:ascii="Times New Roman" w:hAnsi="Times New Roman" w:eastAsia="Times New Roman"/>
          <w:b w:val="0"/>
          <w:i w:val="0"/>
          <w:sz w:val="24"/>
        </w:rPr>
      </w:r>
      <w:r>
        <w:br/>
      </w:r>
      <w:r>
        <w:rPr>
          <w:rFonts w:ascii="Times New Roman" w:hAnsi="Times New Roman" w:eastAsia="Times New Roman"/>
          <w:b w:val="0"/>
          <w:i w:val="0"/>
          <w:sz w:val="24"/>
        </w:rPr>
        <w:t>```typescript</w:t>
      </w:r>
      <w:r>
        <w:br/>
      </w:r>
      <w:r>
        <w:rPr>
          <w:rFonts w:ascii="Times New Roman" w:hAnsi="Times New Roman" w:eastAsia="Times New Roman"/>
          <w:b w:val="0"/>
          <w:i w:val="0"/>
          <w:sz w:val="24"/>
        </w:rPr>
        <w:t>if (loading) return &lt;LoadingSpinner /&gt;;</w:t>
      </w:r>
      <w:r>
        <w:br/>
      </w:r>
      <w:r>
        <w:rPr>
          <w:rFonts w:ascii="Times New Roman" w:hAnsi="Times New Roman" w:eastAsia="Times New Roman"/>
          <w:b w:val="0"/>
          <w:i w:val="0"/>
          <w:sz w:val="24"/>
        </w:rPr>
        <w:t>if (!user) return &lt;Navigate to="/login" replace /&gt;;</w:t>
      </w:r>
      <w:r>
        <w:br/>
      </w:r>
      <w:r>
        <w:rPr>
          <w:rFonts w:ascii="Times New Roman" w:hAnsi="Times New Roman" w:eastAsia="Times New Roman"/>
          <w:b w:val="0"/>
          <w:i w:val="0"/>
          <w:sz w:val="24"/>
        </w:rPr>
        <w:t>if (allowedRoles &amp;&amp; !allowedRoles.includes(profile?.role || '')) {</w:t>
      </w:r>
      <w:r>
        <w:br/>
      </w:r>
      <w:r>
        <w:rPr>
          <w:rFonts w:ascii="Times New Roman" w:hAnsi="Times New Roman" w:eastAsia="Times New Roman"/>
          <w:b w:val="0"/>
          <w:i w:val="0"/>
          <w:sz w:val="24"/>
        </w:rPr>
        <w:t xml:space="preserve">  return &lt;Navigate to="/" replace /&gt;;</w:t>
      </w:r>
      <w:r>
        <w:br/>
      </w:r>
      <w:r>
        <w:rPr>
          <w:rFonts w:ascii="Times New Roman" w:hAnsi="Times New Roman" w:eastAsia="Times New Roman"/>
          <w:b w:val="0"/>
          <w:i w:val="0"/>
          <w:sz w:val="24"/>
        </w:rPr>
        <w:t>}</w:t>
      </w:r>
      <w:r>
        <w:br/>
      </w:r>
      <w:r>
        <w:rPr>
          <w:rFonts w:ascii="Times New Roman" w:hAnsi="Times New Roman" w:eastAsia="Times New Roman"/>
          <w:b w:val="0"/>
          <w:i w:val="0"/>
          <w:sz w:val="24"/>
        </w:rPr>
        <w:t>return &lt;&gt;{children}&lt;/&gt;;</w:t>
      </w:r>
      <w:r>
        <w:br/>
      </w:r>
      <w:r>
        <w:rPr>
          <w:rFonts w:ascii="Times New Roman" w:hAnsi="Times New Roman" w:eastAsia="Times New Roman"/>
          <w:b w:val="0"/>
          <w:i w:val="0"/>
          <w:sz w:val="24"/>
        </w:rPr>
        <w:t>```</w:t>
      </w:r>
      <w:r>
        <w:br/>
      </w:r>
      <w:r>
        <w:rPr>
          <w:rFonts w:ascii="Times New Roman" w:hAnsi="Times New Roman" w:eastAsia="Times New Roman"/>
          <w:b w:val="0"/>
          <w:i w:val="0"/>
          <w:sz w:val="24"/>
        </w:rPr>
      </w:r>
      <w:r>
        <w:br/>
      </w:r>
      <w:r>
        <w:rPr>
          <w:rFonts w:ascii="Times New Roman" w:hAnsi="Times New Roman" w:eastAsia="Times New Roman"/>
          <w:b w:val="0"/>
          <w:i w:val="0"/>
          <w:sz w:val="24"/>
        </w:rPr>
        <w:t>Ese fragmento resume la secuencia operativa: primero se resuelve el estado de autenticación, después se confirma la presencia de sesión y finalmente se compara el rol contra el arreglo de permisos. La implementación no se limita a esconder pantallas; también asegura que el usuario no pueda invocar módulos que no corresponden a su función dentro del sistema.</w:t>
      </w:r>
      <w:r>
        <w:br/>
      </w:r>
      <w:r>
        <w:rPr>
          <w:rFonts w:ascii="Times New Roman" w:hAnsi="Times New Roman" w:eastAsia="Times New Roman"/>
          <w:b w:val="0"/>
          <w:i w:val="0"/>
          <w:sz w:val="24"/>
        </w:rPr>
      </w:r>
      <w:r>
        <w:br/>
      </w:r>
      <w:r>
        <w:rPr>
          <w:rFonts w:ascii="Times New Roman" w:hAnsi="Times New Roman" w:eastAsia="Times New Roman"/>
          <w:b w:val="0"/>
          <w:i w:val="0"/>
          <w:sz w:val="24"/>
        </w:rPr>
        <w:t>La comunicación entre `AuthContext.tsx`, `ProtectedRoute.tsx` y las páginas del sistema se basa en un ciclo de sesión continuo. Cuando el usuario entra, el contexto lee la cuenta, recupera el perfil y habilita la navegación. Cuando la sesión expira o se cierra, el estado se limpia y las rutas protegidas dejan de exponer contenido interno. Cuando el rol cambia en la base de datos, la siguiente sincronización actualiza los permisos mostrados por el frontend. Ese flujo convierte la autenticación en un mecanismo central del comportamiento del sistema.</w:t>
      </w:r>
      <w:r>
        <w:br/>
      </w:r>
      <w:r>
        <w:rPr>
          <w:rFonts w:ascii="Times New Roman" w:hAnsi="Times New Roman" w:eastAsia="Times New Roman"/>
          <w:b w:val="0"/>
          <w:i w:val="0"/>
          <w:sz w:val="24"/>
        </w:rPr>
      </w:r>
      <w:r>
        <w:br/>
      </w:r>
      <w:r>
        <w:rPr>
          <w:rFonts w:ascii="Times New Roman" w:hAnsi="Times New Roman" w:eastAsia="Times New Roman"/>
          <w:b w:val="0"/>
          <w:i w:val="0"/>
          <w:sz w:val="24"/>
        </w:rPr>
        <w:t>[ESPACIO PARA FIGURA 7. Flujo de autenticación y control de rutas protegido por roles.]</w:t>
      </w:r>
    </w:p>
    <w:p>
      <w:pPr>
        <w:spacing w:line="360" w:lineRule="auto" w:after="120"/>
        <w:jc w:val="both"/>
      </w:pPr>
      <w:r>
        <w:rPr>
          <w:rFonts w:ascii="Times New Roman" w:hAnsi="Times New Roman" w:eastAsia="Times New Roman"/>
          <w:b w:val="0"/>
          <w:i w:val="0"/>
          <w:sz w:val="24"/>
        </w:rPr>
        <w:t>La sesión se escucha con `supabase.auth.onAuthStateChange`, la consulta al perfil se ejecuta sobre `profiles` y el resultado se guarda en el estado global para que cada ruta conozca el rol activo. El guardia de rutas compara `loading`, `user` y `allowedRoles` antes de permitir el renderizado, de modo que las vistas administrativas y técnicas quedan protegidas por una validación asíncrona.</w:t>
      </w:r>
    </w:p>
    <w:p>
      <w:pPr>
        <w:spacing w:line="360" w:lineRule="auto" w:after="120"/>
        <w:jc w:val="center"/>
      </w:pPr>
      <w:r>
        <w:rPr>
          <w:rFonts w:ascii="Times New Roman" w:hAnsi="Times New Roman" w:eastAsia="Times New Roman"/>
          <w:b w:val="0"/>
          <w:i/>
          <w:sz w:val="22"/>
        </w:rPr>
        <w:t>[ESPACIO PARA FIGURA 7. Flujo de autenticación y control de rutas protegido por roles.]</w:t>
      </w:r>
    </w:p>
    <w:p>
      <w:pPr>
        <w:spacing w:before="240" w:after="120"/>
        <w:jc w:val="left"/>
      </w:pPr>
      <w:r>
        <w:rPr>
          <w:rFonts w:ascii="Times New Roman" w:hAnsi="Times New Roman" w:eastAsia="Times New Roman"/>
          <w:b/>
          <w:i w:val="0"/>
          <w:sz w:val="26"/>
        </w:rPr>
        <w:t>3.2.4 desarrollo de la interfaz de administración</w:t>
      </w:r>
    </w:p>
    <w:p>
      <w:pPr>
        <w:spacing w:line="360" w:lineRule="auto" w:after="120"/>
        <w:jc w:val="both"/>
      </w:pPr>
      <w:r>
        <w:rPr>
          <w:rFonts w:ascii="Times New Roman" w:hAnsi="Times New Roman" w:eastAsia="Times New Roman"/>
          <w:b w:val="0"/>
          <w:i w:val="0"/>
          <w:sz w:val="24"/>
        </w:rPr>
        <w:t>La interfaz administrativa concentra las operaciones de alta y modificación de los elementos que estructuran el expediente de cada orden. El primer componente es `Clients.tsx`, que administra el catálogo de clientes y conserva los datos de contacto necesarios para asociar una institución, una razón social o un solicitante con cada servicio técnico. El segundo componente es `OrderForm.tsx`, que construye y edita la orden de servicio a partir de la selección del cliente, la asignación del técnico, la fecha programada, la descripción del trabajo y la ubicación objetivo.</w:t>
      </w:r>
      <w:r>
        <w:br/>
      </w:r>
      <w:r>
        <w:rPr>
          <w:rFonts w:ascii="Times New Roman" w:hAnsi="Times New Roman" w:eastAsia="Times New Roman"/>
          <w:b w:val="0"/>
          <w:i w:val="0"/>
          <w:sz w:val="24"/>
        </w:rPr>
      </w:r>
      <w:r>
        <w:br/>
      </w:r>
      <w:r>
        <w:rPr>
          <w:rFonts w:ascii="Times New Roman" w:hAnsi="Times New Roman" w:eastAsia="Times New Roman"/>
          <w:b w:val="0"/>
          <w:i w:val="0"/>
          <w:sz w:val="24"/>
        </w:rPr>
        <w:t>El funcionamiento del formulario de órdenes inicia con la carga asíncrona de información relacionada. Al abrir la vista, el sistema consulta la tabla `clients` para cargar los clientes disponibles y la tabla `profiles` filtrada por el rol `tecnico` para mostrar únicamente al personal que puede recibir asignaciones. Esta carga previa evita capturas inconsistentes porque el administrador no escribe identificadores manualmente; en su lugar, selecciona valores ya normalizados desde listas controladas. El formulario también prepara el estado local que conserva las coordenadas, la dirección y los materiales o evidencias asociadas a la orden.</w:t>
      </w:r>
      <w:r>
        <w:br/>
      </w:r>
      <w:r>
        <w:rPr>
          <w:rFonts w:ascii="Times New Roman" w:hAnsi="Times New Roman" w:eastAsia="Times New Roman"/>
          <w:b w:val="0"/>
          <w:i w:val="0"/>
          <w:sz w:val="24"/>
        </w:rPr>
      </w:r>
      <w:r>
        <w:br/>
      </w:r>
      <w:r>
        <w:rPr>
          <w:rFonts w:ascii="Times New Roman" w:hAnsi="Times New Roman" w:eastAsia="Times New Roman"/>
          <w:b w:val="0"/>
          <w:i w:val="0"/>
          <w:sz w:val="24"/>
        </w:rPr>
        <w:t>La integración cartográfica se resuelve con Leaflet porque la biblioteca permite incrustar un mapa interactivo en la interfaz sin requerir una aplicación nativa. El componente `MapContainer` mantiene el lienzo del mapa y un manejador de clics, denominado `MapClickHandler`, captura las coordenadas del punto seleccionado. Cuando se obtiene latitud y longitud, la aplicación realiza una petición HTTPS asincrónica a la API Nominatim de OpenStreetMap para convertir el par geográfico en una dirección legible. La dirección devuelta se guarda en el formulario y se usa para mostrar el destino de la orden en un formato que el personal puede interpretar de inmediato.</w:t>
      </w:r>
      <w:r>
        <w:br/>
      </w:r>
      <w:r>
        <w:rPr>
          <w:rFonts w:ascii="Times New Roman" w:hAnsi="Times New Roman" w:eastAsia="Times New Roman"/>
          <w:b w:val="0"/>
          <w:i w:val="0"/>
          <w:sz w:val="24"/>
        </w:rPr>
      </w:r>
      <w:r>
        <w:br/>
      </w:r>
      <w:r>
        <w:rPr>
          <w:rFonts w:ascii="Times New Roman" w:hAnsi="Times New Roman" w:eastAsia="Times New Roman"/>
          <w:b w:val="0"/>
          <w:i w:val="0"/>
          <w:sz w:val="24"/>
        </w:rPr>
        <w:t>La lógica de geocodificación inversa sigue una secuencia definida. Primero se captura el evento del mapa; después se extraen las coordenadas; luego se envía la consulta a Nominatim; finalmente se procesa la respuesta JSON para poblar el campo `address`. Este procedimiento evita que la ubicación quede descrita solamente por un par numérico de coordenadas, porque la orden necesita mostrar tanto la referencia cartográfica como una dirección textual que pueda ser revisada por el personal administrativo y por el técnico de campo.</w:t>
      </w:r>
      <w:r>
        <w:br/>
      </w:r>
      <w:r>
        <w:rPr>
          <w:rFonts w:ascii="Times New Roman" w:hAnsi="Times New Roman" w:eastAsia="Times New Roman"/>
          <w:b w:val="0"/>
          <w:i w:val="0"/>
          <w:sz w:val="24"/>
        </w:rPr>
      </w:r>
      <w:r>
        <w:br/>
      </w:r>
      <w:r>
        <w:rPr>
          <w:rFonts w:ascii="Times New Roman" w:hAnsi="Times New Roman" w:eastAsia="Times New Roman"/>
          <w:b w:val="0"/>
          <w:i w:val="0"/>
          <w:sz w:val="24"/>
        </w:rPr>
        <w:t>La relación entre el formulario y la base de datos es directa. Cuando la orden se guarda, el sistema inserta o actualiza un registro en `service_orders`; después registra la ubicación objetivo en `locations` con `is_target = true`; y, cuando corresponde, anexa evidencias de referencia en `evidences` con la marca correspondiente. El formulario no crea datos aislados, sino un conjunto de registros vinculados por la llave de la orden. Esa relación permite que el expediente quede estructurado desde el inicio y que el panel de seguimiento pueda recuperar la información sin reconstrucciones manuales.</w:t>
      </w:r>
      <w:r>
        <w:br/>
      </w:r>
      <w:r>
        <w:rPr>
          <w:rFonts w:ascii="Times New Roman" w:hAnsi="Times New Roman" w:eastAsia="Times New Roman"/>
          <w:b w:val="0"/>
          <w:i w:val="0"/>
          <w:sz w:val="24"/>
        </w:rPr>
      </w:r>
      <w:r>
        <w:br/>
      </w:r>
      <w:r>
        <w:rPr>
          <w:rFonts w:ascii="Times New Roman" w:hAnsi="Times New Roman" w:eastAsia="Times New Roman"/>
          <w:b w:val="0"/>
          <w:i w:val="0"/>
          <w:sz w:val="24"/>
        </w:rPr>
        <w:t>El flujo de edición también utiliza componentes controlados por estado. Los campos del formulario conservan el valor digitado mientras se modifica la orden, y cualquier cambio se sincroniza con el estado del componente antes de enviar la actualización a Supabase. Esta lógica mantiene la interfaz consistente, porque la edición de una orden no depende de recargar la página ni de operar con formularios sueltos. La pantalla presenta una sola vista consolidada donde se gestiona el cliente, la orden, la ubicación y las referencias visuales.</w:t>
      </w:r>
      <w:r>
        <w:br/>
      </w:r>
      <w:r>
        <w:rPr>
          <w:rFonts w:ascii="Times New Roman" w:hAnsi="Times New Roman" w:eastAsia="Times New Roman"/>
          <w:b w:val="0"/>
          <w:i w:val="0"/>
          <w:sz w:val="24"/>
        </w:rPr>
      </w:r>
      <w:r>
        <w:br/>
      </w:r>
      <w:r>
        <w:rPr>
          <w:rFonts w:ascii="Times New Roman" w:hAnsi="Times New Roman" w:eastAsia="Times New Roman"/>
          <w:b w:val="0"/>
          <w:i w:val="0"/>
          <w:sz w:val="24"/>
        </w:rPr>
        <w:t>En términos de implementación, la interfaz administrativa funciona como la puerta de entrada al ciclo del servicio. Desde este punto se define qué cliente origina el expediente, qué técnico lo atiende, en qué fecha se programa y en qué punto geográfico se ejecuta. La salida de este módulo alimenta el tablero administrativo y, posteriormente, la vista del técnico, por lo que la calidad de la captura inicial condiciona toda la trazabilidad del sistema.</w:t>
      </w:r>
      <w:r>
        <w:br/>
      </w:r>
      <w:r>
        <w:rPr>
          <w:rFonts w:ascii="Times New Roman" w:hAnsi="Times New Roman" w:eastAsia="Times New Roman"/>
          <w:b w:val="0"/>
          <w:i w:val="0"/>
          <w:sz w:val="24"/>
        </w:rPr>
      </w:r>
      <w:r>
        <w:br/>
      </w:r>
      <w:r>
        <w:rPr>
          <w:rFonts w:ascii="Times New Roman" w:hAnsi="Times New Roman" w:eastAsia="Times New Roman"/>
          <w:b w:val="0"/>
          <w:i w:val="0"/>
          <w:sz w:val="24"/>
        </w:rPr>
        <w:t>[ESPACIO PARA FIGURA 8. Formulario administrativo con selector de clientes, técnicos y mapa Leaflet.]</w:t>
      </w:r>
    </w:p>
    <w:p>
      <w:pPr>
        <w:spacing w:line="360" w:lineRule="auto" w:after="120"/>
        <w:jc w:val="both"/>
      </w:pPr>
      <w:r>
        <w:rPr>
          <w:rFonts w:ascii="Times New Roman" w:hAnsi="Times New Roman" w:eastAsia="Times New Roman"/>
          <w:b w:val="0"/>
          <w:i w:val="0"/>
          <w:sz w:val="24"/>
        </w:rPr>
        <w:t>El formulario de órdenes carga clientes desde `clients` y técnicos desde `profiles` filtrados por el rol `tecnico`. La integración cartográfica con Leaflet permite capturar la ubicación objetivo mediante un evento de clic que deriva una coordenada y la traduce a una dirección legible mediante la API de geocodificación inversa de OpenStreetMap Nominatim.</w:t>
      </w:r>
    </w:p>
    <w:p>
      <w:pPr>
        <w:spacing w:line="360" w:lineRule="auto" w:after="120"/>
        <w:jc w:val="both"/>
      </w:pPr>
      <w:r>
        <w:rPr>
          <w:rFonts w:ascii="Times New Roman" w:hAnsi="Times New Roman" w:eastAsia="Times New Roman"/>
          <w:b w:val="0"/>
          <w:i w:val="0"/>
          <w:sz w:val="24"/>
        </w:rPr>
        <w:t>La configuración del mapa se resume en una secuencia lógica: captura del punto, extracción de latitud y longitud, petición HTTPS a Nominatim, lectura de la respuesta JSON y asignación del valor al campo de dirección. Cuando la orden se guarda, el sistema escribe el registro principal en `service_orders` y conserva la ubicación asociada en `locations` con la marca que identifica el destino programado.</w:t>
      </w:r>
    </w:p>
    <w:p>
      <w:pPr>
        <w:spacing w:line="360" w:lineRule="auto" w:after="120"/>
        <w:jc w:val="center"/>
      </w:pPr>
      <w:r>
        <w:rPr>
          <w:rFonts w:ascii="Times New Roman" w:hAnsi="Times New Roman" w:eastAsia="Times New Roman"/>
          <w:b w:val="0"/>
          <w:i/>
          <w:sz w:val="22"/>
        </w:rPr>
        <w:t>[ESPACIO PARA FIGURA 8. Formulario administrativo con selector de clientes, técnicos y mapa Leaflet.]</w:t>
      </w:r>
    </w:p>
    <w:p>
      <w:pPr>
        <w:spacing w:before="240" w:after="120"/>
        <w:jc w:val="left"/>
      </w:pPr>
      <w:r>
        <w:rPr>
          <w:rFonts w:ascii="Times New Roman" w:hAnsi="Times New Roman" w:eastAsia="Times New Roman"/>
          <w:b/>
          <w:i w:val="0"/>
          <w:sz w:val="26"/>
        </w:rPr>
        <w:t>3.2.5 panel administrativo y monitoreo de servicios</w:t>
      </w:r>
    </w:p>
    <w:p>
      <w:pPr>
        <w:spacing w:line="360" w:lineRule="auto" w:after="120"/>
        <w:jc w:val="both"/>
      </w:pPr>
      <w:r>
        <w:rPr>
          <w:rFonts w:ascii="Times New Roman" w:hAnsi="Times New Roman" w:eastAsia="Times New Roman"/>
          <w:b w:val="0"/>
          <w:i w:val="0"/>
          <w:sz w:val="24"/>
        </w:rPr>
        <w:t>El tablero administrativo centraliza el seguimiento de las órdenes y organiza la lectura operativa mediante indicadores cuantitativos y filtros interactivos. Su función principal consiste en mostrar, en una sola vista, el estado global del sistema para que el administrador identifique rápidamente cuántas órdenes permanecen pendientes, cuántas se encuentran asignadas, cuántas están en progreso y cuántas ya se completaron. Esta capa de monitoreo no modifica datos por sí sola; interpreta la información que ya existe en la base de datos y la presenta en un formato visual que reduce la revisión manual.</w:t>
      </w:r>
      <w:r>
        <w:br/>
      </w:r>
      <w:r>
        <w:rPr>
          <w:rFonts w:ascii="Times New Roman" w:hAnsi="Times New Roman" w:eastAsia="Times New Roman"/>
          <w:b w:val="0"/>
          <w:i w:val="0"/>
          <w:sz w:val="24"/>
        </w:rPr>
      </w:r>
      <w:r>
        <w:br/>
      </w:r>
      <w:r>
        <w:rPr>
          <w:rFonts w:ascii="Times New Roman" w:hAnsi="Times New Roman" w:eastAsia="Times New Roman"/>
          <w:b w:val="0"/>
          <w:i w:val="0"/>
          <w:sz w:val="24"/>
        </w:rPr>
        <w:t>Al iniciar, `Dashboard.tsx` consulta la totalidad de `service_orders` junto con sus relaciones más relevantes, como cliente, técnico y estado. Con esa información se calculan los KPI del encabezado y se alimenta la tabla principal. La búsqueda textual filtra por nombre de cliente, técnico o descripción, mientras que las pestañas de estado acotan el universo de órdenes a un subconjunto operativo. La interfaz no vuelve a consultar cada vez que cambia el filtro visual; trabaja con el conjunto ya cargado en memoria y lo reordena según las condiciones seleccionadas, lo que mantiene una interacción fluida.</w:t>
      </w:r>
      <w:r>
        <w:br/>
      </w:r>
      <w:r>
        <w:rPr>
          <w:rFonts w:ascii="Times New Roman" w:hAnsi="Times New Roman" w:eastAsia="Times New Roman"/>
          <w:b w:val="0"/>
          <w:i w:val="0"/>
          <w:sz w:val="24"/>
        </w:rPr>
      </w:r>
      <w:r>
        <w:br/>
      </w:r>
      <w:r>
        <w:rPr>
          <w:rFonts w:ascii="Times New Roman" w:hAnsi="Times New Roman" w:eastAsia="Times New Roman"/>
          <w:b w:val="0"/>
          <w:i w:val="0"/>
          <w:sz w:val="24"/>
        </w:rPr>
        <w:t>El modal de inspección constituye la parte más técnica del tablero. Cuando se abre una orden, el sistema recupera evidencias, ubicaciones y observaciones vinculadas al identificador de la orden. Las imágenes de referencia y las imágenes tomadas en campo se cargan desde la tabla `evidences`, mientras que las coordenadas objetivo y las coordenadas reales se recuperan desde `locations`. El modal compone esta información en una sola vista para que la revisión no quede repartida entre múltiples consultas. La observación técnica de cierre se carga desde `observations` y completa el expediente de la orden.</w:t>
      </w:r>
      <w:r>
        <w:br/>
      </w:r>
      <w:r>
        <w:rPr>
          <w:rFonts w:ascii="Times New Roman" w:hAnsi="Times New Roman" w:eastAsia="Times New Roman"/>
          <w:b w:val="0"/>
          <w:i w:val="0"/>
          <w:sz w:val="24"/>
        </w:rPr>
      </w:r>
      <w:r>
        <w:br/>
      </w:r>
      <w:r>
        <w:rPr>
          <w:rFonts w:ascii="Times New Roman" w:hAnsi="Times New Roman" w:eastAsia="Times New Roman"/>
          <w:b w:val="0"/>
          <w:i w:val="0"/>
          <w:sz w:val="24"/>
        </w:rPr>
        <w:t>La parte cartográfica del modal utiliza dos marcadores para representar la dimensión espacial del servicio. El marcador objetivo se coloca en la ubicación definida por administración al programar la orden, mientras que el marcador real señala el punto desde el cual el técnico registró su cierre. La comparación entre ambos puntos se realiza dentro del mismo mapa, de modo que la distancia conceptual entre el destino programado y el lugar de atención quede visible sin abandonar la vista de control. El mapa no se usa como decoración; se utiliza como instrumento de auditoría espacial.</w:t>
      </w:r>
      <w:r>
        <w:br/>
      </w:r>
      <w:r>
        <w:rPr>
          <w:rFonts w:ascii="Times New Roman" w:hAnsi="Times New Roman" w:eastAsia="Times New Roman"/>
          <w:b w:val="0"/>
          <w:i w:val="0"/>
          <w:sz w:val="24"/>
        </w:rPr>
      </w:r>
      <w:r>
        <w:br/>
      </w:r>
      <w:r>
        <w:rPr>
          <w:rFonts w:ascii="Times New Roman" w:hAnsi="Times New Roman" w:eastAsia="Times New Roman"/>
          <w:b w:val="0"/>
          <w:i w:val="0"/>
          <w:sz w:val="24"/>
        </w:rPr>
        <w:t>La carga de evidencias visuales sigue un recorrido específico. Cada fotografía asociada a la orden se almacena como un objeto independiente y la tabla conserva la relación mediante `order_id`. Cuando el modal se abre, el sistema agrupa las fotografías por tipo y las muestra en una sección de detalle. Esa separación permite distinguir rápidamente las imágenes de referencia cargadas por el administrador de las fotografías de campo capturadas por el técnico. El expediente visual permanece enlazado a la orden, por lo que la revisión histórica no exige navegar por carpetas externas.</w:t>
      </w:r>
      <w:r>
        <w:br/>
      </w:r>
      <w:r>
        <w:rPr>
          <w:rFonts w:ascii="Times New Roman" w:hAnsi="Times New Roman" w:eastAsia="Times New Roman"/>
          <w:b w:val="0"/>
          <w:i w:val="0"/>
          <w:sz w:val="24"/>
        </w:rPr>
      </w:r>
      <w:r>
        <w:br/>
      </w:r>
      <w:r>
        <w:rPr>
          <w:rFonts w:ascii="Times New Roman" w:hAnsi="Times New Roman" w:eastAsia="Times New Roman"/>
          <w:b w:val="0"/>
          <w:i w:val="0"/>
          <w:sz w:val="24"/>
        </w:rPr>
        <w:t>La secuencia de procesamiento del tablero es clara: se obtiene el universo de órdenes, se calculan indicadores, se aplican filtros, se abre la vista detallada y se sincronizan evidencias, ubicaciones y observaciones. Con esa estructura, el administrador conserva una imagen completa del estado de operación sin necesidad de reconstruir manualmente la información. La vista principal alimenta las decisiones de seguimiento y, al mismo tiempo, prepara el contexto para el trabajo del técnico en campo.</w:t>
      </w:r>
      <w:r>
        <w:br/>
      </w:r>
      <w:r>
        <w:rPr>
          <w:rFonts w:ascii="Times New Roman" w:hAnsi="Times New Roman" w:eastAsia="Times New Roman"/>
          <w:b w:val="0"/>
          <w:i w:val="0"/>
          <w:sz w:val="24"/>
        </w:rPr>
      </w:r>
      <w:r>
        <w:br/>
      </w:r>
      <w:r>
        <w:rPr>
          <w:rFonts w:ascii="Times New Roman" w:hAnsi="Times New Roman" w:eastAsia="Times New Roman"/>
          <w:b w:val="0"/>
          <w:i w:val="0"/>
          <w:sz w:val="24"/>
        </w:rPr>
        <w:t>[ESPACIO PARA FIGURA 9. Tablero administrativo con KPIs, filtros y modal de inspección.]</w:t>
      </w:r>
    </w:p>
    <w:p>
      <w:pPr>
        <w:spacing w:line="360" w:lineRule="auto" w:after="120"/>
        <w:jc w:val="both"/>
      </w:pPr>
      <w:r>
        <w:rPr>
          <w:rFonts w:ascii="Times New Roman" w:hAnsi="Times New Roman" w:eastAsia="Times New Roman"/>
          <w:b w:val="0"/>
          <w:i w:val="0"/>
          <w:sz w:val="24"/>
        </w:rPr>
        <w:t>Los KPI se calculan a partir de la consulta inicial sobre `service_orders` y se separan por estado para ofrecer una lectura inmediata del universo operativo. El modal de inspección reconstruye la orden con las evidencias de `evidences`, las coordenadas de `locations` y las observaciones de `observations`, de modo que la revisión queda concentrada en una sola vista. El mapa inserta dos marcadores, uno objetivo y uno real, para comparar la ubicación definida por administración con la ubicación reportada por el técnico.</w:t>
      </w:r>
    </w:p>
    <w:p>
      <w:pPr>
        <w:spacing w:line="360" w:lineRule="auto" w:after="120"/>
        <w:jc w:val="center"/>
      </w:pPr>
      <w:r>
        <w:rPr>
          <w:rFonts w:ascii="Times New Roman" w:hAnsi="Times New Roman" w:eastAsia="Times New Roman"/>
          <w:b w:val="0"/>
          <w:i/>
          <w:sz w:val="22"/>
        </w:rPr>
        <w:t>[ESPACIO PARA FIGURA 9. Tablero administrativo con KPI, filtros y modal de inspección.]</w:t>
      </w:r>
    </w:p>
    <w:p>
      <w:pPr>
        <w:spacing w:before="240" w:after="120"/>
        <w:jc w:val="left"/>
      </w:pPr>
      <w:r>
        <w:rPr>
          <w:rFonts w:ascii="Times New Roman" w:hAnsi="Times New Roman" w:eastAsia="Times New Roman"/>
          <w:b/>
          <w:i w:val="0"/>
          <w:sz w:val="26"/>
        </w:rPr>
        <w:t>3.2.6 desarrollo de la vista del técnico en campo</w:t>
      </w:r>
    </w:p>
    <w:p>
      <w:pPr>
        <w:spacing w:line="360" w:lineRule="auto" w:after="120"/>
        <w:jc w:val="both"/>
      </w:pPr>
      <w:r>
        <w:rPr>
          <w:rFonts w:ascii="Times New Roman" w:hAnsi="Times New Roman" w:eastAsia="Times New Roman"/>
          <w:b w:val="0"/>
          <w:i w:val="0"/>
          <w:sz w:val="24"/>
        </w:rPr>
        <w:t>La vista del técnico en campo se diseña bajo un esquema mobile-first porque la operación principal ocurre desde teléfonos o tabletas fuera de la oficina. La interfaz reduce el ruido visual y muestra solamente las órdenes asignadas a la sesión activa. Este filtrado no depende de la vista por sí sola; también se sostiene en la política de seguridad por fila y en la consulta condicionada por `technician_id = auth.uid()`, lo que garantiza que el técnico revise únicamente su carga de trabajo.</w:t>
      </w:r>
      <w:r>
        <w:br/>
      </w:r>
      <w:r>
        <w:rPr>
          <w:rFonts w:ascii="Times New Roman" w:hAnsi="Times New Roman" w:eastAsia="Times New Roman"/>
          <w:b w:val="0"/>
          <w:i w:val="0"/>
          <w:sz w:val="24"/>
        </w:rPr>
      </w:r>
      <w:r>
        <w:br/>
      </w:r>
      <w:r>
        <w:rPr>
          <w:rFonts w:ascii="Times New Roman" w:hAnsi="Times New Roman" w:eastAsia="Times New Roman"/>
          <w:b w:val="0"/>
          <w:i w:val="0"/>
          <w:sz w:val="24"/>
        </w:rPr>
        <w:t>El flujo del dashboard técnico comienza con la lectura de las órdenes vinculadas al usuario autenticado. Cada tarjeta resume el estado, la fecha y una descripción breve de la tarea para que la navegación sea rápida. Al abrir una orden, el sistema presenta la ficha de servicio con los datos necesarios para ejecutar el trabajo, registrar avance, anexar evidencias y cerrar la intervención. La interfaz conserva una estructura simple porque la prioridad en campo consiste en capturar información con la menor cantidad posible de pasos visuales.</w:t>
      </w:r>
      <w:r>
        <w:br/>
      </w:r>
      <w:r>
        <w:rPr>
          <w:rFonts w:ascii="Times New Roman" w:hAnsi="Times New Roman" w:eastAsia="Times New Roman"/>
          <w:b w:val="0"/>
          <w:i w:val="0"/>
          <w:sz w:val="24"/>
        </w:rPr>
      </w:r>
      <w:r>
        <w:br/>
      </w:r>
      <w:r>
        <w:rPr>
          <w:rFonts w:ascii="Times New Roman" w:hAnsi="Times New Roman" w:eastAsia="Times New Roman"/>
          <w:b w:val="0"/>
          <w:i w:val="0"/>
          <w:sz w:val="24"/>
        </w:rPr>
        <w:t>El arranque del servicio requiere la captura de la posición real. Cuando la orden pasa a estado de ejecución, el navegador solicita acceso a la API Geolocation de HTML5. Si el dispositivo concede el permiso, el sistema obtiene latitud y longitud mediante `navigator.geolocation.getCurrentPosition()` y asocia esa coordenada al momento de inicio. Esta captura no depende de hardware especializado; utiliza los sensores del propio teléfono y almacena el valor como evidencia de contexto dentro de la orden.</w:t>
      </w:r>
      <w:r>
        <w:br/>
      </w:r>
      <w:r>
        <w:rPr>
          <w:rFonts w:ascii="Times New Roman" w:hAnsi="Times New Roman" w:eastAsia="Times New Roman"/>
          <w:b w:val="0"/>
          <w:i w:val="0"/>
          <w:sz w:val="24"/>
        </w:rPr>
      </w:r>
      <w:r>
        <w:br/>
      </w:r>
      <w:r>
        <w:rPr>
          <w:rFonts w:ascii="Times New Roman" w:hAnsi="Times New Roman" w:eastAsia="Times New Roman"/>
          <w:b w:val="0"/>
          <w:i w:val="0"/>
          <w:sz w:val="24"/>
        </w:rPr>
        <w:t>La cámara nativa del dispositivo se integra a través del atributo `capture="environment"`, que orienta la captura hacia la cámara trasera en navegadores compatibles. La imagen obtenida se envía a Supabase Storage y la URL resultante se inserta en `evidences` junto con el identificador de la orden. En ese proceso, el archivo binario se separa del registro relacional, pero la asociación permanece intacta porque la evidencia siempre conserva la llave de la orden a la que pertenece.</w:t>
      </w:r>
      <w:r>
        <w:br/>
      </w:r>
      <w:r>
        <w:rPr>
          <w:rFonts w:ascii="Times New Roman" w:hAnsi="Times New Roman" w:eastAsia="Times New Roman"/>
          <w:b w:val="0"/>
          <w:i w:val="0"/>
          <w:sz w:val="24"/>
        </w:rPr>
      </w:r>
      <w:r>
        <w:br/>
      </w:r>
      <w:r>
        <w:rPr>
          <w:rFonts w:ascii="Times New Roman" w:hAnsi="Times New Roman" w:eastAsia="Times New Roman"/>
          <w:b w:val="0"/>
          <w:i w:val="0"/>
          <w:sz w:val="24"/>
        </w:rPr>
        <w:t>El cierre de la orden se controla mediante validaciones condicionales. Antes de permitir el cambio de estado a `Completada`, el sistema verifica que existan observaciones redactadas y al menos una evidencia asociada a la orden. Si falta alguno de esos elementos, el cierre se bloquea y la pantalla permanece en estado de edición. Esta regla obliga a que el expediente cierre con información mínima consistente y evita que una orden aparezca como terminada sin respaldo documental.</w:t>
      </w:r>
      <w:r>
        <w:br/>
      </w:r>
      <w:r>
        <w:rPr>
          <w:rFonts w:ascii="Times New Roman" w:hAnsi="Times New Roman" w:eastAsia="Times New Roman"/>
          <w:b w:val="0"/>
          <w:i w:val="0"/>
          <w:sz w:val="24"/>
        </w:rPr>
      </w:r>
      <w:r>
        <w:br/>
      </w:r>
      <w:r>
        <w:rPr>
          <w:rFonts w:ascii="Times New Roman" w:hAnsi="Times New Roman" w:eastAsia="Times New Roman"/>
          <w:b w:val="0"/>
          <w:i w:val="0"/>
          <w:sz w:val="24"/>
        </w:rPr>
        <w:t>Una vez superadas las validaciones, el sistema captura nuevamente la ubicación de cierre, actualiza el estado de la orden y registra la última observación. La secuencia queda almacenada en la base de datos con trazabilidad completa: inicio, avance, evidencia, coordenada y cierre. La vista del técnico no introduce datos aislados; completa el ciclo que comenzó en el módulo administrativo y entrega al tablero una orden estructurada para consulta posterior.</w:t>
      </w:r>
      <w:r>
        <w:br/>
      </w:r>
      <w:r>
        <w:rPr>
          <w:rFonts w:ascii="Times New Roman" w:hAnsi="Times New Roman" w:eastAsia="Times New Roman"/>
          <w:b w:val="0"/>
          <w:i w:val="0"/>
          <w:sz w:val="24"/>
        </w:rPr>
      </w:r>
      <w:r>
        <w:br/>
      </w:r>
      <w:r>
        <w:rPr>
          <w:rFonts w:ascii="Times New Roman" w:hAnsi="Times New Roman" w:eastAsia="Times New Roman"/>
          <w:b w:val="0"/>
          <w:i w:val="0"/>
          <w:sz w:val="24"/>
        </w:rPr>
        <w:t>[ESPACIO PARA FIGURA 10. Vista del técnico, captura GPS y cierre de orden.]</w:t>
      </w:r>
    </w:p>
    <w:p>
      <w:pPr>
        <w:spacing w:line="360" w:lineRule="auto" w:after="120"/>
        <w:jc w:val="both"/>
      </w:pPr>
      <w:r>
        <w:rPr>
          <w:rFonts w:ascii="Times New Roman" w:hAnsi="Times New Roman" w:eastAsia="Times New Roman"/>
          <w:b w:val="0"/>
          <w:i w:val="0"/>
          <w:sz w:val="24"/>
        </w:rPr>
        <w:t>La vista del técnico filtra las órdenes por `technician_id = auth.uid()` y prioriza una interfaz móvil con navegación breve y tarjetas resumidas. Al iniciar el servicio, el navegador solicita la ubicación con la API Geolocation de HTML5; al capturar evidencias, activa la cámara trasera mediante `capture="environment"`; y al cerrar la orden, valida que existan observaciones y evidencias vinculadas antes de actualizar el estado a `Completada`.</w:t>
      </w:r>
    </w:p>
    <w:p>
      <w:pPr>
        <w:spacing w:line="360" w:lineRule="auto" w:after="120"/>
        <w:jc w:val="both"/>
      </w:pPr>
      <w:r>
        <w:rPr>
          <w:rFonts w:ascii="Times New Roman" w:hAnsi="Times New Roman" w:eastAsia="Times New Roman"/>
          <w:b w:val="0"/>
          <w:i w:val="0"/>
          <w:sz w:val="24"/>
        </w:rPr>
        <w:t>La ruta técnica conserva una secuencia de datos estricta: selección de la orden, captura del inicio, registro de coordenadas, subida de imagen a almacenamiento, inserción de observación y cierre condicionado. Cada paso alimenta tablas distintas, pero todas comparten la llave de la orden, lo que mantiene la trazabilidad completa de la ejecución.</w:t>
      </w:r>
    </w:p>
    <w:p>
      <w:pPr>
        <w:spacing w:line="360" w:lineRule="auto" w:after="120"/>
        <w:jc w:val="center"/>
      </w:pPr>
      <w:r>
        <w:rPr>
          <w:rFonts w:ascii="Times New Roman" w:hAnsi="Times New Roman" w:eastAsia="Times New Roman"/>
          <w:b w:val="0"/>
          <w:i/>
          <w:sz w:val="22"/>
        </w:rPr>
        <w:t>[ESPACIO PARA FIGURA 10. Vista del técnico, captura GPS y cierre de orden.]</w:t>
      </w:r>
    </w:p>
    <w:p>
      <w:pPr>
        <w:spacing w:before="240" w:after="120"/>
        <w:jc w:val="left"/>
      </w:pPr>
      <w:r>
        <w:rPr>
          <w:rFonts w:ascii="Times New Roman" w:hAnsi="Times New Roman" w:eastAsia="Times New Roman"/>
          <w:b/>
          <w:i w:val="0"/>
          <w:sz w:val="26"/>
        </w:rPr>
        <w:t>3.2.7 mecanismos de disponibilidad pwa e instalación</w:t>
      </w:r>
    </w:p>
    <w:p>
      <w:pPr>
        <w:spacing w:line="360" w:lineRule="auto" w:after="120"/>
        <w:jc w:val="both"/>
      </w:pPr>
      <w:r>
        <w:rPr>
          <w:rFonts w:ascii="Times New Roman" w:hAnsi="Times New Roman" w:eastAsia="Times New Roman"/>
          <w:b w:val="0"/>
          <w:i w:val="0"/>
          <w:sz w:val="24"/>
        </w:rPr>
        <w:t>La disponibilidad del sistema se complementa con una configuración PWA que permite instalar la aplicación en el dispositivo y conservar parte de la interfaz disponible aun cuando la conexión disminuye. La integración se realiza con `vite-plugin-pwa`, que añade la generación del manifiesto y el service worker al proceso de compilación de Vite. Esta capa no sustituye a Supabase ni a PostgreSQL; únicamente administra los recursos locales de navegación para que el acceso inicial y ciertos archivos estáticos permanezcan disponibles.</w:t>
      </w:r>
      <w:r>
        <w:br/>
      </w:r>
      <w:r>
        <w:rPr>
          <w:rFonts w:ascii="Times New Roman" w:hAnsi="Times New Roman" w:eastAsia="Times New Roman"/>
          <w:b w:val="0"/>
          <w:i w:val="0"/>
          <w:sz w:val="24"/>
        </w:rPr>
      </w:r>
      <w:r>
        <w:br/>
      </w:r>
      <w:r>
        <w:rPr>
          <w:rFonts w:ascii="Times New Roman" w:hAnsi="Times New Roman" w:eastAsia="Times New Roman"/>
          <w:b w:val="0"/>
          <w:i w:val="0"/>
          <w:sz w:val="24"/>
        </w:rPr>
        <w:t>El manifiesto web define la identidad de la aplicación. En él se especifican el nombre visible, el nombre corto, los íconos maskable, el color de tema, el modo de visualización `standalone` y la ruta de inicio. Estos valores permiten que el sistema operativo reconozca la aplicación como instalable y que, al abrirla desde la pantalla de inicio, se presente sin barras del navegador. La identidad visual permanece alineada con el proyecto, de modo que la experiencia instalada conserve el mismo entorno de navegación que la versión web.</w:t>
      </w:r>
      <w:r>
        <w:br/>
      </w:r>
      <w:r>
        <w:rPr>
          <w:rFonts w:ascii="Times New Roman" w:hAnsi="Times New Roman" w:eastAsia="Times New Roman"/>
          <w:b w:val="0"/>
          <w:i w:val="0"/>
          <w:sz w:val="24"/>
        </w:rPr>
      </w:r>
      <w:r>
        <w:br/>
      </w:r>
      <w:r>
        <w:rPr>
          <w:rFonts w:ascii="Times New Roman" w:hAnsi="Times New Roman" w:eastAsia="Times New Roman"/>
          <w:b w:val="0"/>
          <w:i w:val="0"/>
          <w:sz w:val="24"/>
        </w:rPr>
        <w:t>El service worker resuelve la estrategia de caché. Durante la fase de compilación, el sistema registra en caché los recursos estáticos del frontend, como el HTML de entrada, las hojas de estilo, los scripts generados y los íconos de la aplicación. Esta política de precarga no almacena las consultas dinámicas de negocio; únicamente conserva los archivos que no dependen del estado operativo. Cuando el navegador detecta ausencia de red, el service worker responde con los recursos que ya se encuentran en caché y permite que la interfaz básica siga cargando.</w:t>
      </w:r>
      <w:r>
        <w:br/>
      </w:r>
      <w:r>
        <w:rPr>
          <w:rFonts w:ascii="Times New Roman" w:hAnsi="Times New Roman" w:eastAsia="Times New Roman"/>
          <w:b w:val="0"/>
          <w:i w:val="0"/>
          <w:sz w:val="24"/>
        </w:rPr>
      </w:r>
      <w:r>
        <w:br/>
      </w:r>
      <w:r>
        <w:rPr>
          <w:rFonts w:ascii="Times New Roman" w:hAnsi="Times New Roman" w:eastAsia="Times New Roman"/>
          <w:b w:val="0"/>
          <w:i w:val="0"/>
          <w:sz w:val="24"/>
        </w:rPr>
        <w:t>La configuración técnica de esta capa se integra en `vite.config.ts`, donde se activan los parámetros de la extensión PWA y se define el comportamiento del paquete final. El resultado es una aplicación que se instala como acceso local, conserva su identidad visual y mantiene una experiencia consistente entre escritorio y móvil. El usuario no interactúa con una página aislada, sino con una aplicación preparada para abrirse como software local dentro del ecosistema del navegador.</w:t>
      </w:r>
      <w:r>
        <w:br/>
      </w:r>
      <w:r>
        <w:rPr>
          <w:rFonts w:ascii="Times New Roman" w:hAnsi="Times New Roman" w:eastAsia="Times New Roman"/>
          <w:b w:val="0"/>
          <w:i w:val="0"/>
          <w:sz w:val="24"/>
        </w:rPr>
      </w:r>
      <w:r>
        <w:br/>
      </w:r>
      <w:r>
        <w:rPr>
          <w:rFonts w:ascii="Times New Roman" w:hAnsi="Times New Roman" w:eastAsia="Times New Roman"/>
          <w:b w:val="0"/>
          <w:i w:val="0"/>
          <w:sz w:val="24"/>
        </w:rPr>
        <w:t>El soporte offline se aplica únicamente a la presentación y a los archivos precargados. Cuando el sistema necesita consultar órdenes, actualizar estados o registrar evidencias, vuelve a depender de la conexión con Supabase. Esa separación evita inconsistencias porque el contenido dinámico siempre se obtiene desde la fuente autorizada, mientras que la interfaz estática se entrega desde caché para acelerar la apertura y mejorar la disponibilidad percibida.</w:t>
      </w:r>
      <w:r>
        <w:br/>
      </w:r>
      <w:r>
        <w:rPr>
          <w:rFonts w:ascii="Times New Roman" w:hAnsi="Times New Roman" w:eastAsia="Times New Roman"/>
          <w:b w:val="0"/>
          <w:i w:val="0"/>
          <w:sz w:val="24"/>
        </w:rPr>
      </w:r>
      <w:r>
        <w:br/>
      </w:r>
      <w:r>
        <w:rPr>
          <w:rFonts w:ascii="Times New Roman" w:hAnsi="Times New Roman" w:eastAsia="Times New Roman"/>
          <w:b w:val="0"/>
          <w:i w:val="0"/>
          <w:sz w:val="24"/>
        </w:rPr>
        <w:t>La secuencia final de la implementación queda cerrada por la relación entre manifiesto, caché y despliegue. Primero se compila la aplicación, después se registra el service worker, luego se publican los recursos y finalmente el sistema operativo ofrece la opción de instalación. Con esta configuración, ServiControl PWA conserva una experiencia continua entre web y aplicación local, sin abandonar el modelo serverless ni la estructura relacional que sostiene toda la lógica de negocio.</w:t>
      </w:r>
      <w:r>
        <w:br/>
      </w:r>
      <w:r>
        <w:rPr>
          <w:rFonts w:ascii="Times New Roman" w:hAnsi="Times New Roman" w:eastAsia="Times New Roman"/>
          <w:b w:val="0"/>
          <w:i w:val="0"/>
          <w:sz w:val="24"/>
        </w:rPr>
      </w:r>
      <w:r>
        <w:br/>
      </w:r>
      <w:r>
        <w:rPr>
          <w:rFonts w:ascii="Times New Roman" w:hAnsi="Times New Roman" w:eastAsia="Times New Roman"/>
          <w:b w:val="0"/>
          <w:i w:val="0"/>
          <w:sz w:val="24"/>
        </w:rPr>
        <w:t>[ESPACIO PARA FIGURA 11. Configuración PWA, manifiesto y service worker.]</w:t>
      </w:r>
    </w:p>
    <w:p>
      <w:pPr>
        <w:spacing w:line="360" w:lineRule="auto" w:after="120"/>
        <w:jc w:val="both"/>
      </w:pPr>
      <w:r>
        <w:rPr>
          <w:rFonts w:ascii="Times New Roman" w:hAnsi="Times New Roman" w:eastAsia="Times New Roman"/>
          <w:b w:val="0"/>
          <w:i w:val="0"/>
          <w:sz w:val="24"/>
        </w:rPr>
        <w:t>La capa PWA se integra con `vite-plugin-pwa`, que registra el service worker, define el manifiesto web y organiza la estrategia de precache. El manifiesto declara el modo `standalone`, los iconos maskable, el nombre corto y los colores de la aplicación, mientras que el service worker conserva en caché los recursos estáticos que no dependen del estado operativo. La experiencia resultante conserva una apertura rápida y una apariencia de aplicación instalada sin abandonar el modelo web.</w:t>
      </w:r>
    </w:p>
    <w:p>
      <w:pPr>
        <w:spacing w:line="360" w:lineRule="auto" w:after="120"/>
        <w:jc w:val="both"/>
      </w:pPr>
      <w:r>
        <w:rPr>
          <w:rFonts w:ascii="Times New Roman" w:hAnsi="Times New Roman" w:eastAsia="Times New Roman"/>
          <w:b w:val="0"/>
          <w:i w:val="0"/>
          <w:sz w:val="24"/>
        </w:rPr>
        <w:t>La publicación mantiene la separación entre recursos estáticos y datos dinámicos: los activos de interfaz se sirven desde la caché y las órdenes, evidencias y ubicaciones continúan resolviéndose en Supabase. Esa división conserva la consistencia del sistema y mantiene alineada la identidad visual entre el navegador y el acceso instalado.</w:t>
      </w:r>
    </w:p>
    <w:p>
      <w:pPr>
        <w:spacing w:line="360" w:lineRule="auto" w:after="120"/>
        <w:jc w:val="center"/>
      </w:pPr>
      <w:r>
        <w:rPr>
          <w:rFonts w:ascii="Times New Roman" w:hAnsi="Times New Roman" w:eastAsia="Times New Roman"/>
          <w:b w:val="0"/>
          <w:i/>
          <w:sz w:val="22"/>
        </w:rPr>
        <w:t>[ESPACIO PARA FIGURA 11. Configuración PWA, manifiesto y service worker.]</w:t>
      </w:r>
    </w:p>
    <w:p>
      <w:pPr>
        <w:spacing w:line="360" w:lineRule="auto" w:after="120"/>
        <w:jc w:val="both"/>
      </w:pPr>
      <w:r>
        <w:rPr>
          <w:rFonts w:ascii="Times New Roman" w:hAnsi="Times New Roman" w:eastAsia="Times New Roman"/>
          <w:b w:val="0"/>
          <w:i w:val="0"/>
          <w:sz w:val="24"/>
        </w:rPr>
        <w:t>Con esta secuencia, la implementación conserva una lectura continua y técnica: primero se establece la base de datos, después se organiza la arquitectura del código, más tarde se controla la sesión, luego se construye la interfaz administrativa, se supervisa la operación, se ejecuta la captura en campo y finalmente se habilita la instalación de la aplicación. La redacción del capítulo mantiene la estructura de procedimiento solicitada por la metodología porque explica el sistema como una construcción verificable y no como una lista independiente de tecnologías.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