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left"/>
      </w:pPr>
      <w:r>
        <w:rPr>
          <w:rFonts w:ascii="Arial" w:hAnsi="Arial"/>
          <w:b/>
          <w:sz w:val="36"/>
        </w:rPr>
        <w:t>3.3 Pruebas y reportes de la implementación</w:t>
      </w:r>
    </w:p>
    <w:p>
      <w:pPr>
        <w:spacing w:line="360" w:lineRule="auto" w:before="0" w:after="120"/>
        <w:ind w:left="0" w:firstLine="0"/>
        <w:jc w:val="both"/>
      </w:pPr>
      <w:r>
        <w:rPr>
          <w:rFonts w:ascii="Arial" w:hAnsi="Arial"/>
          <w:sz w:val="24"/>
        </w:rPr>
        <w:t>Una vez que concluye el desarrollo de la Aplicación Web Progresiva (PWA) ServiControl para la gestión digital de órdenes de mantenimiento, se efectúa un proceso sistemático de validación y aseguramiento de la calidad. Este proceso consiste en la ejecución de diversas pruebas que permiten verificar la operatividad, seguridad e integración de los componentes del sistema, garantizando que la solución responda de forma consistente a las necesidades del área de motores. Las actividades de validación se realizan de forma progresiva, desde la verificación aislada de formularios individuales hasta la comprobación de flujos integrados de extremo a extremo, evaluando el desempeño tanto en condiciones normales de conectividad como en entornos sin conexión a internet.</w:t>
      </w:r>
    </w:p>
    <w:p>
      <w:pPr>
        <w:keepNext/>
        <w:spacing w:before="280" w:after="120"/>
        <w:jc w:val="left"/>
      </w:pPr>
      <w:r>
        <w:rPr>
          <w:rFonts w:ascii="Arial" w:hAnsi="Arial"/>
          <w:b/>
          <w:sz w:val="28"/>
        </w:rPr>
        <w:t>3.3.1 Tipos de pruebas</w:t>
      </w:r>
    </w:p>
    <w:p>
      <w:pPr>
        <w:spacing w:line="360" w:lineRule="auto" w:before="0" w:after="120"/>
        <w:ind w:left="0" w:firstLine="0"/>
        <w:jc w:val="both"/>
      </w:pPr>
      <w:r>
        <w:rPr>
          <w:rFonts w:ascii="Arial" w:hAnsi="Arial"/>
          <w:sz w:val="24"/>
        </w:rPr>
        <w:t>Con el propósito de evaluar detalladamente el comportamiento de la solución implementada, las pruebas se planifican y ejecutan bajo una estructura incremental que abarca diferentes categorías de complejidad. En la Tabla 3 se presenta la clasificación general de las pruebas realizadas, detallando el identificador, la categoría, el componente a evaluar y el nivel de complejidad asociado.</w:t>
      </w:r>
    </w:p>
    <w:p>
      <w:pPr>
        <w:spacing w:before="240" w:after="80"/>
      </w:pPr>
      <w:r>
        <w:rPr>
          <w:rFonts w:ascii="Arial" w:hAnsi="Arial"/>
          <w:sz w:val="20"/>
        </w:rPr>
        <w:t>Tabla 3. Pruebas realizadas durante la validación del sistema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864"/>
          </w:tcPr>
          <w:p>
            <w:pPr>
              <w:spacing w:before="60" w:after="60"/>
              <w:jc w:val="left"/>
            </w:pPr>
            <w:r>
              <w:rPr>
                <w:rFonts w:ascii="Arial" w:hAnsi="Arial"/>
                <w:b/>
                <w:sz w:val="20"/>
              </w:rPr>
              <w:t>ID</w:t>
            </w:r>
          </w:p>
        </w:tc>
        <w:tc>
          <w:tcPr>
            <w:tcW w:type="dxa" w:w="2160"/>
          </w:tcPr>
          <w:p>
            <w:pPr>
              <w:spacing w:before="60" w:after="60"/>
              <w:jc w:val="left"/>
            </w:pPr>
            <w:r>
              <w:rPr>
                <w:rFonts w:ascii="Arial" w:hAnsi="Arial"/>
                <w:b/>
                <w:sz w:val="20"/>
              </w:rPr>
              <w:t>Tipo de prueba</w:t>
            </w:r>
          </w:p>
        </w:tc>
        <w:tc>
          <w:tcPr>
            <w:tcW w:type="dxa" w:w="1728"/>
          </w:tcPr>
          <w:p>
            <w:pPr>
              <w:spacing w:before="60" w:after="60"/>
              <w:jc w:val="left"/>
            </w:pPr>
            <w:r>
              <w:rPr>
                <w:rFonts w:ascii="Arial" w:hAnsi="Arial"/>
                <w:b/>
                <w:sz w:val="20"/>
              </w:rPr>
              <w:t>Categoría</w:t>
            </w:r>
          </w:p>
        </w:tc>
        <w:tc>
          <w:tcPr>
            <w:tcW w:type="dxa" w:w="3168"/>
          </w:tcPr>
          <w:p>
            <w:pPr>
              <w:spacing w:before="60" w:after="60"/>
              <w:jc w:val="left"/>
            </w:pPr>
            <w:r>
              <w:rPr>
                <w:rFonts w:ascii="Arial" w:hAnsi="Arial"/>
                <w:b/>
                <w:sz w:val="20"/>
              </w:rPr>
              <w:t>Componente a evaluar</w:t>
            </w:r>
          </w:p>
        </w:tc>
        <w:tc>
          <w:tcPr>
            <w:tcW w:type="dxa" w:w="1440"/>
          </w:tcPr>
          <w:p>
            <w:pPr>
              <w:spacing w:before="60" w:after="60"/>
              <w:jc w:val="left"/>
            </w:pPr>
            <w:r>
              <w:rPr>
                <w:rFonts w:ascii="Arial" w:hAnsi="Arial"/>
                <w:b/>
                <w:sz w:val="20"/>
              </w:rPr>
              <w:t>Nivel de complejidad</w:t>
            </w:r>
          </w:p>
        </w:tc>
      </w:tr>
      <w:tr>
        <w:tc>
          <w:tcPr>
            <w:tcW w:type="dxa" w:w="864"/>
          </w:tcPr>
          <w:p>
            <w:pPr>
              <w:spacing w:before="60" w:after="60"/>
              <w:jc w:val="left"/>
            </w:pPr>
            <w:r>
              <w:rPr>
                <w:rFonts w:ascii="Arial" w:hAnsi="Arial"/>
                <w:sz w:val="20"/>
              </w:rPr>
              <w:t>U01</w:t>
            </w:r>
          </w:p>
        </w:tc>
        <w:tc>
          <w:tcPr>
            <w:tcW w:type="dxa" w:w="2160"/>
          </w:tcPr>
          <w:p>
            <w:pPr>
              <w:spacing w:before="60" w:after="60"/>
              <w:jc w:val="left"/>
            </w:pPr>
            <w:r>
              <w:rPr>
                <w:rFonts w:ascii="Arial" w:hAnsi="Arial"/>
                <w:sz w:val="20"/>
              </w:rPr>
              <w:t>Validaciones</w:t>
            </w:r>
          </w:p>
        </w:tc>
        <w:tc>
          <w:tcPr>
            <w:tcW w:type="dxa" w:w="1728"/>
          </w:tcPr>
          <w:p>
            <w:pPr>
              <w:spacing w:before="60" w:after="60"/>
              <w:jc w:val="left"/>
            </w:pPr>
            <w:r>
              <w:rPr>
                <w:rFonts w:ascii="Arial" w:hAnsi="Arial"/>
                <w:sz w:val="20"/>
              </w:rPr>
              <w:t>Unitaria</w:t>
            </w:r>
          </w:p>
        </w:tc>
        <w:tc>
          <w:tcPr>
            <w:tcW w:type="dxa" w:w="3168"/>
          </w:tcPr>
          <w:p>
            <w:pPr>
              <w:spacing w:before="60" w:after="60"/>
              <w:jc w:val="left"/>
            </w:pPr>
            <w:r>
              <w:rPr>
                <w:rFonts w:ascii="Arial" w:hAnsi="Arial"/>
                <w:sz w:val="20"/>
              </w:rPr>
              <w:t>Formulario de login</w:t>
            </w:r>
          </w:p>
        </w:tc>
        <w:tc>
          <w:tcPr>
            <w:tcW w:type="dxa" w:w="1440"/>
          </w:tcPr>
          <w:p>
            <w:pPr>
              <w:spacing w:before="60" w:after="60"/>
              <w:jc w:val="left"/>
            </w:pPr>
            <w:r>
              <w:rPr>
                <w:rFonts w:ascii="Arial" w:hAnsi="Arial"/>
                <w:sz w:val="20"/>
              </w:rPr>
              <w:t>Bajo</w:t>
            </w:r>
          </w:p>
        </w:tc>
      </w:tr>
      <w:tr>
        <w:tc>
          <w:tcPr>
            <w:tcW w:type="dxa" w:w="864"/>
          </w:tcPr>
          <w:p>
            <w:pPr>
              <w:spacing w:before="60" w:after="60"/>
              <w:jc w:val="left"/>
            </w:pPr>
            <w:r>
              <w:rPr>
                <w:rFonts w:ascii="Arial" w:hAnsi="Arial"/>
                <w:sz w:val="20"/>
              </w:rPr>
              <w:t>U02</w:t>
            </w:r>
          </w:p>
        </w:tc>
        <w:tc>
          <w:tcPr>
            <w:tcW w:type="dxa" w:w="2160"/>
          </w:tcPr>
          <w:p>
            <w:pPr>
              <w:spacing w:before="60" w:after="60"/>
              <w:jc w:val="left"/>
            </w:pPr>
            <w:r>
              <w:rPr>
                <w:rFonts w:ascii="Arial" w:hAnsi="Arial"/>
                <w:sz w:val="20"/>
              </w:rPr>
              <w:t>Zonas horarias</w:t>
            </w:r>
          </w:p>
        </w:tc>
        <w:tc>
          <w:tcPr>
            <w:tcW w:type="dxa" w:w="1728"/>
          </w:tcPr>
          <w:p>
            <w:pPr>
              <w:spacing w:before="60" w:after="60"/>
              <w:jc w:val="left"/>
            </w:pPr>
            <w:r>
              <w:rPr>
                <w:rFonts w:ascii="Arial" w:hAnsi="Arial"/>
                <w:sz w:val="20"/>
              </w:rPr>
              <w:t>Unitaria</w:t>
            </w:r>
          </w:p>
        </w:tc>
        <w:tc>
          <w:tcPr>
            <w:tcW w:type="dxa" w:w="3168"/>
          </w:tcPr>
          <w:p>
            <w:pPr>
              <w:spacing w:before="60" w:after="60"/>
              <w:jc w:val="left"/>
            </w:pPr>
            <w:r>
              <w:rPr>
                <w:rFonts w:ascii="Arial" w:hAnsi="Arial"/>
                <w:sz w:val="20"/>
              </w:rPr>
              <w:t>Formulario de orden</w:t>
            </w:r>
          </w:p>
        </w:tc>
        <w:tc>
          <w:tcPr>
            <w:tcW w:type="dxa" w:w="1440"/>
          </w:tcPr>
          <w:p>
            <w:pPr>
              <w:spacing w:before="60" w:after="60"/>
              <w:jc w:val="left"/>
            </w:pPr>
            <w:r>
              <w:rPr>
                <w:rFonts w:ascii="Arial" w:hAnsi="Arial"/>
                <w:sz w:val="20"/>
              </w:rPr>
              <w:t>Bajo</w:t>
            </w:r>
          </w:p>
        </w:tc>
      </w:tr>
      <w:tr>
        <w:tc>
          <w:tcPr>
            <w:tcW w:type="dxa" w:w="864"/>
          </w:tcPr>
          <w:p>
            <w:pPr>
              <w:spacing w:before="60" w:after="60"/>
              <w:jc w:val="left"/>
            </w:pPr>
            <w:r>
              <w:rPr>
                <w:rFonts w:ascii="Arial" w:hAnsi="Arial"/>
                <w:sz w:val="20"/>
              </w:rPr>
              <w:t>I01</w:t>
            </w:r>
          </w:p>
        </w:tc>
        <w:tc>
          <w:tcPr>
            <w:tcW w:type="dxa" w:w="2160"/>
          </w:tcPr>
          <w:p>
            <w:pPr>
              <w:spacing w:before="60" w:after="60"/>
              <w:jc w:val="left"/>
            </w:pPr>
            <w:r>
              <w:rPr>
                <w:rFonts w:ascii="Arial" w:hAnsi="Arial"/>
                <w:sz w:val="20"/>
              </w:rPr>
              <w:t>Autenticación</w:t>
            </w:r>
          </w:p>
        </w:tc>
        <w:tc>
          <w:tcPr>
            <w:tcW w:type="dxa" w:w="1728"/>
          </w:tcPr>
          <w:p>
            <w:pPr>
              <w:spacing w:before="60" w:after="60"/>
              <w:jc w:val="left"/>
            </w:pPr>
            <w:r>
              <w:rPr>
                <w:rFonts w:ascii="Arial" w:hAnsi="Arial"/>
                <w:sz w:val="20"/>
              </w:rPr>
              <w:t>Integración</w:t>
            </w:r>
          </w:p>
        </w:tc>
        <w:tc>
          <w:tcPr>
            <w:tcW w:type="dxa" w:w="3168"/>
          </w:tcPr>
          <w:p>
            <w:pPr>
              <w:spacing w:before="60" w:after="60"/>
              <w:jc w:val="left"/>
            </w:pPr>
            <w:r>
              <w:rPr>
                <w:rFonts w:ascii="Arial" w:hAnsi="Arial"/>
                <w:sz w:val="20"/>
              </w:rPr>
              <w:t>Supabase Auth / contexto</w:t>
            </w:r>
          </w:p>
        </w:tc>
        <w:tc>
          <w:tcPr>
            <w:tcW w:type="dxa" w:w="1440"/>
          </w:tcPr>
          <w:p>
            <w:pPr>
              <w:spacing w:before="60" w:after="60"/>
              <w:jc w:val="left"/>
            </w:pPr>
            <w:r>
              <w:rPr>
                <w:rFonts w:ascii="Arial" w:hAnsi="Arial"/>
                <w:sz w:val="20"/>
              </w:rPr>
              <w:t>Medio</w:t>
            </w:r>
          </w:p>
        </w:tc>
      </w:tr>
      <w:tr>
        <w:tc>
          <w:tcPr>
            <w:tcW w:type="dxa" w:w="864"/>
          </w:tcPr>
          <w:p>
            <w:pPr>
              <w:spacing w:before="60" w:after="60"/>
              <w:jc w:val="left"/>
            </w:pPr>
            <w:r>
              <w:rPr>
                <w:rFonts w:ascii="Arial" w:hAnsi="Arial"/>
                <w:sz w:val="20"/>
              </w:rPr>
              <w:t>I02</w:t>
            </w:r>
          </w:p>
        </w:tc>
        <w:tc>
          <w:tcPr>
            <w:tcW w:type="dxa" w:w="2160"/>
          </w:tcPr>
          <w:p>
            <w:pPr>
              <w:spacing w:before="60" w:after="60"/>
              <w:jc w:val="left"/>
            </w:pPr>
            <w:r>
              <w:rPr>
                <w:rFonts w:ascii="Arial" w:hAnsi="Arial"/>
                <w:sz w:val="20"/>
              </w:rPr>
              <w:t>Sincro. perfil</w:t>
            </w:r>
          </w:p>
        </w:tc>
        <w:tc>
          <w:tcPr>
            <w:tcW w:type="dxa" w:w="1728"/>
          </w:tcPr>
          <w:p>
            <w:pPr>
              <w:spacing w:before="60" w:after="60"/>
              <w:jc w:val="left"/>
            </w:pPr>
            <w:r>
              <w:rPr>
                <w:rFonts w:ascii="Arial" w:hAnsi="Arial"/>
                <w:sz w:val="20"/>
              </w:rPr>
              <w:t>Integración</w:t>
            </w:r>
          </w:p>
        </w:tc>
        <w:tc>
          <w:tcPr>
            <w:tcW w:type="dxa" w:w="3168"/>
          </w:tcPr>
          <w:p>
            <w:pPr>
              <w:spacing w:before="60" w:after="60"/>
              <w:jc w:val="left"/>
            </w:pPr>
            <w:r>
              <w:rPr>
                <w:rFonts w:ascii="Arial" w:hAnsi="Arial"/>
                <w:sz w:val="20"/>
              </w:rPr>
              <w:t>Trigger PostgreSQL</w:t>
            </w:r>
          </w:p>
        </w:tc>
        <w:tc>
          <w:tcPr>
            <w:tcW w:type="dxa" w:w="1440"/>
          </w:tcPr>
          <w:p>
            <w:pPr>
              <w:spacing w:before="60" w:after="60"/>
              <w:jc w:val="left"/>
            </w:pPr>
            <w:r>
              <w:rPr>
                <w:rFonts w:ascii="Arial" w:hAnsi="Arial"/>
                <w:sz w:val="20"/>
              </w:rPr>
              <w:t>Medio</w:t>
            </w:r>
          </w:p>
        </w:tc>
      </w:tr>
      <w:tr>
        <w:tc>
          <w:tcPr>
            <w:tcW w:type="dxa" w:w="864"/>
          </w:tcPr>
          <w:p>
            <w:pPr>
              <w:spacing w:before="60" w:after="60"/>
              <w:jc w:val="left"/>
            </w:pPr>
            <w:r>
              <w:rPr>
                <w:rFonts w:ascii="Arial" w:hAnsi="Arial"/>
                <w:sz w:val="20"/>
              </w:rPr>
              <w:t>I03</w:t>
            </w:r>
          </w:p>
        </w:tc>
        <w:tc>
          <w:tcPr>
            <w:tcW w:type="dxa" w:w="2160"/>
          </w:tcPr>
          <w:p>
            <w:pPr>
              <w:spacing w:before="60" w:after="60"/>
              <w:jc w:val="left"/>
            </w:pPr>
            <w:r>
              <w:rPr>
                <w:rFonts w:ascii="Arial" w:hAnsi="Arial"/>
                <w:sz w:val="20"/>
              </w:rPr>
              <w:t>Seguridad RLS</w:t>
            </w:r>
          </w:p>
        </w:tc>
        <w:tc>
          <w:tcPr>
            <w:tcW w:type="dxa" w:w="1728"/>
          </w:tcPr>
          <w:p>
            <w:pPr>
              <w:spacing w:before="60" w:after="60"/>
              <w:jc w:val="left"/>
            </w:pPr>
            <w:r>
              <w:rPr>
                <w:rFonts w:ascii="Arial" w:hAnsi="Arial"/>
                <w:sz w:val="20"/>
              </w:rPr>
              <w:t>Seguridad</w:t>
            </w:r>
          </w:p>
        </w:tc>
        <w:tc>
          <w:tcPr>
            <w:tcW w:type="dxa" w:w="3168"/>
          </w:tcPr>
          <w:p>
            <w:pPr>
              <w:spacing w:before="60" w:after="60"/>
              <w:jc w:val="left"/>
            </w:pPr>
            <w:r>
              <w:rPr>
                <w:rFonts w:ascii="Arial" w:hAnsi="Arial"/>
                <w:sz w:val="20"/>
              </w:rPr>
              <w:t>Tablas DB Supabase</w:t>
            </w:r>
          </w:p>
        </w:tc>
        <w:tc>
          <w:tcPr>
            <w:tcW w:type="dxa" w:w="1440"/>
          </w:tcPr>
          <w:p>
            <w:pPr>
              <w:spacing w:before="60" w:after="60"/>
              <w:jc w:val="left"/>
            </w:pPr>
            <w:r>
              <w:rPr>
                <w:rFonts w:ascii="Arial" w:hAnsi="Arial"/>
                <w:sz w:val="20"/>
              </w:rPr>
              <w:t>Alto</w:t>
            </w:r>
          </w:p>
        </w:tc>
      </w:tr>
      <w:tr>
        <w:tc>
          <w:tcPr>
            <w:tcW w:type="dxa" w:w="864"/>
          </w:tcPr>
          <w:p>
            <w:pPr>
              <w:spacing w:before="60" w:after="60"/>
              <w:jc w:val="left"/>
            </w:pPr>
            <w:r>
              <w:rPr>
                <w:rFonts w:ascii="Arial" w:hAnsi="Arial"/>
                <w:sz w:val="20"/>
              </w:rPr>
              <w:t>S01</w:t>
            </w:r>
          </w:p>
        </w:tc>
        <w:tc>
          <w:tcPr>
            <w:tcW w:type="dxa" w:w="2160"/>
          </w:tcPr>
          <w:p>
            <w:pPr>
              <w:spacing w:before="60" w:after="60"/>
              <w:jc w:val="left"/>
            </w:pPr>
            <w:r>
              <w:rPr>
                <w:rFonts w:ascii="Arial" w:hAnsi="Arial"/>
                <w:sz w:val="20"/>
              </w:rPr>
              <w:t>Geolocalización</w:t>
            </w:r>
          </w:p>
        </w:tc>
        <w:tc>
          <w:tcPr>
            <w:tcW w:type="dxa" w:w="1728"/>
          </w:tcPr>
          <w:p>
            <w:pPr>
              <w:spacing w:before="60" w:after="60"/>
              <w:jc w:val="left"/>
            </w:pPr>
            <w:r>
              <w:rPr>
                <w:rFonts w:ascii="Arial" w:hAnsi="Arial"/>
                <w:sz w:val="20"/>
              </w:rPr>
              <w:t>Sistema</w:t>
            </w:r>
          </w:p>
        </w:tc>
        <w:tc>
          <w:tcPr>
            <w:tcW w:type="dxa" w:w="3168"/>
          </w:tcPr>
          <w:p>
            <w:pPr>
              <w:spacing w:before="60" w:after="60"/>
              <w:jc w:val="left"/>
            </w:pPr>
            <w:r>
              <w:rPr>
                <w:rFonts w:ascii="Arial" w:hAnsi="Arial"/>
                <w:sz w:val="20"/>
              </w:rPr>
              <w:t>GPS HTML5 / Nominatim</w:t>
            </w:r>
          </w:p>
        </w:tc>
        <w:tc>
          <w:tcPr>
            <w:tcW w:type="dxa" w:w="1440"/>
          </w:tcPr>
          <w:p>
            <w:pPr>
              <w:spacing w:before="60" w:after="60"/>
              <w:jc w:val="left"/>
            </w:pPr>
            <w:r>
              <w:rPr>
                <w:rFonts w:ascii="Arial" w:hAnsi="Arial"/>
                <w:sz w:val="20"/>
              </w:rPr>
              <w:t>Alto</w:t>
            </w:r>
          </w:p>
        </w:tc>
      </w:tr>
      <w:tr>
        <w:tc>
          <w:tcPr>
            <w:tcW w:type="dxa" w:w="864"/>
          </w:tcPr>
          <w:p>
            <w:pPr>
              <w:spacing w:before="60" w:after="60"/>
              <w:jc w:val="left"/>
            </w:pPr>
            <w:r>
              <w:rPr>
                <w:rFonts w:ascii="Arial" w:hAnsi="Arial"/>
                <w:sz w:val="20"/>
              </w:rPr>
              <w:t>S02</w:t>
            </w:r>
          </w:p>
        </w:tc>
        <w:tc>
          <w:tcPr>
            <w:tcW w:type="dxa" w:w="2160"/>
          </w:tcPr>
          <w:p>
            <w:pPr>
              <w:spacing w:before="60" w:after="60"/>
              <w:jc w:val="left"/>
            </w:pPr>
            <w:r>
              <w:rPr>
                <w:rFonts w:ascii="Arial" w:hAnsi="Arial"/>
                <w:sz w:val="20"/>
              </w:rPr>
              <w:t>Modo offline</w:t>
            </w:r>
          </w:p>
        </w:tc>
        <w:tc>
          <w:tcPr>
            <w:tcW w:type="dxa" w:w="1728"/>
          </w:tcPr>
          <w:p>
            <w:pPr>
              <w:spacing w:before="60" w:after="60"/>
              <w:jc w:val="left"/>
            </w:pPr>
            <w:r>
              <w:rPr>
                <w:rFonts w:ascii="Arial" w:hAnsi="Arial"/>
                <w:sz w:val="20"/>
              </w:rPr>
              <w:t>Sistema</w:t>
            </w:r>
          </w:p>
        </w:tc>
        <w:tc>
          <w:tcPr>
            <w:tcW w:type="dxa" w:w="3168"/>
          </w:tcPr>
          <w:p>
            <w:pPr>
              <w:spacing w:before="60" w:after="60"/>
              <w:jc w:val="left"/>
            </w:pPr>
            <w:r>
              <w:rPr>
                <w:rFonts w:ascii="Arial" w:hAnsi="Arial"/>
                <w:sz w:val="20"/>
              </w:rPr>
              <w:t>Service Worker / caché</w:t>
            </w:r>
          </w:p>
        </w:tc>
        <w:tc>
          <w:tcPr>
            <w:tcW w:type="dxa" w:w="1440"/>
          </w:tcPr>
          <w:p>
            <w:pPr>
              <w:spacing w:before="60" w:after="60"/>
              <w:jc w:val="left"/>
            </w:pPr>
            <w:r>
              <w:rPr>
                <w:rFonts w:ascii="Arial" w:hAnsi="Arial"/>
                <w:sz w:val="20"/>
              </w:rPr>
              <w:t>Alto</w:t>
            </w:r>
          </w:p>
        </w:tc>
      </w:tr>
      <w:tr>
        <w:tc>
          <w:tcPr>
            <w:tcW w:type="dxa" w:w="864"/>
          </w:tcPr>
          <w:p>
            <w:pPr>
              <w:spacing w:before="60" w:after="60"/>
              <w:jc w:val="left"/>
            </w:pPr>
            <w:r>
              <w:rPr>
                <w:rFonts w:ascii="Arial" w:hAnsi="Arial"/>
                <w:sz w:val="20"/>
              </w:rPr>
              <w:t>S03</w:t>
            </w:r>
          </w:p>
        </w:tc>
        <w:tc>
          <w:tcPr>
            <w:tcW w:type="dxa" w:w="2160"/>
          </w:tcPr>
          <w:p>
            <w:pPr>
              <w:spacing w:before="60" w:after="60"/>
              <w:jc w:val="left"/>
            </w:pPr>
            <w:r>
              <w:rPr>
                <w:rFonts w:ascii="Arial" w:hAnsi="Arial"/>
                <w:sz w:val="20"/>
              </w:rPr>
              <w:t>Flujo operativo</w:t>
            </w:r>
          </w:p>
        </w:tc>
        <w:tc>
          <w:tcPr>
            <w:tcW w:type="dxa" w:w="1728"/>
          </w:tcPr>
          <w:p>
            <w:pPr>
              <w:spacing w:before="60" w:after="60"/>
              <w:jc w:val="left"/>
            </w:pPr>
            <w:r>
              <w:rPr>
                <w:rFonts w:ascii="Arial" w:hAnsi="Arial"/>
                <w:sz w:val="20"/>
              </w:rPr>
              <w:t>End-to-end</w:t>
            </w:r>
          </w:p>
        </w:tc>
        <w:tc>
          <w:tcPr>
            <w:tcW w:type="dxa" w:w="3168"/>
          </w:tcPr>
          <w:p>
            <w:pPr>
              <w:spacing w:before="60" w:after="60"/>
              <w:jc w:val="left"/>
            </w:pPr>
            <w:r>
              <w:rPr>
                <w:rFonts w:ascii="Arial" w:hAnsi="Arial"/>
                <w:sz w:val="20"/>
              </w:rPr>
              <w:t>Ciclo de vida de la orden</w:t>
            </w:r>
          </w:p>
        </w:tc>
        <w:tc>
          <w:tcPr>
            <w:tcW w:type="dxa" w:w="1440"/>
          </w:tcPr>
          <w:p>
            <w:pPr>
              <w:spacing w:before="60" w:after="60"/>
              <w:jc w:val="left"/>
            </w:pPr>
            <w:r>
              <w:rPr>
                <w:rFonts w:ascii="Arial" w:hAnsi="Arial"/>
                <w:sz w:val="20"/>
              </w:rPr>
              <w:t>Muy alto</w:t>
            </w:r>
          </w:p>
        </w:tc>
      </w:tr>
    </w:tbl>
    <w:p>
      <w:pPr>
        <w:spacing w:line="360" w:lineRule="auto" w:before="0" w:after="120"/>
        <w:ind w:left="0" w:firstLine="0"/>
        <w:jc w:val="both"/>
      </w:pPr>
      <w:r>
        <w:rPr>
          <w:rFonts w:ascii="Arial" w:hAnsi="Arial"/>
          <w:sz w:val="24"/>
        </w:rPr>
        <w:t>A continuación, se describe de manera secuencial la ejecución de cada una de las pruebas y se explican detalladamente los sucesos acontecidos durante el proceso.</w:t>
      </w:r>
    </w:p>
    <w:p>
      <w:pPr>
        <w:spacing w:line="360" w:lineRule="auto" w:before="0" w:after="120"/>
        <w:ind w:left="0" w:firstLine="0"/>
        <w:jc w:val="both"/>
      </w:pPr>
      <w:r>
        <w:rPr>
          <w:rFonts w:ascii="Arial" w:hAnsi="Arial"/>
          <w:sz w:val="24"/>
        </w:rPr>
        <w:t>Prueba U01: Validaciones de datos de entrada en el formulario de login</w:t>
      </w:r>
    </w:p>
    <w:p>
      <w:pPr>
        <w:spacing w:line="360" w:lineRule="auto" w:before="0" w:after="120"/>
        <w:ind w:left="0" w:firstLine="0"/>
        <w:jc w:val="both"/>
      </w:pPr>
      <w:r>
        <w:rPr>
          <w:rFonts w:ascii="Arial" w:hAnsi="Arial"/>
          <w:sz w:val="24"/>
        </w:rPr>
        <w:t>La primera prueba de categoría unitaria evalúa el comportamiento de las reglas de validación en el formulario de acceso del sistema. La Interfaz de Usuario (UI) controla de forma estricta el formato del correo electrónico, la longitud mínima de la contraseña y la presencia obligatoria de valores antes de permitir el envío de cualquier solicitud de autenticación al servidor.</w:t>
      </w:r>
    </w:p>
    <w:p>
      <w:pPr>
        <w:spacing w:line="360" w:lineRule="auto" w:before="0" w:after="120"/>
        <w:ind w:left="0" w:firstLine="0"/>
        <w:jc w:val="both"/>
      </w:pPr>
      <w:r>
        <w:rPr>
          <w:rFonts w:ascii="Arial" w:hAnsi="Arial"/>
          <w:sz w:val="24"/>
        </w:rPr>
        <w:t>Para la ejecución de esta prueba, se accede al sistema mediante el navegador web Chrome con la pantalla de inicio de sesión activa. En primer lugar, se mantienen vacíos los campos de captura y se acciona el botón para iniciar sesión; en segundo lugar, se introduce un correo electrónico sin el símbolo especial "@" o sin el dominio correspondiente; por último, se ingresa una contraseña con una longitud menor a los seis caracteres requeridos. En cada uno de estos intentos, el sistema impide de manera automática la ejecución de la consulta, resalta visualmente el campo con error y despliega mensajes informativos dinámicos que guían al usuario. Este comportamiento se observa en la Figura 12, donde se comprueba que la validación ocurre completamente del lado del cliente, evitando el envío de datos corruptos al servidor. Se trata de una validación de bajo alcance técnico que se ejecuta de forma local y garantiza la estabilidad del formulario.</w:t>
      </w:r>
    </w:p>
    <w:p>
      <w:pPr>
        <w:keepNext/>
        <w:spacing w:before="120" w:after="240"/>
        <w:jc w:val="center"/>
      </w:pPr>
      <w:r>
        <w:rPr>
          <w:rFonts w:ascii="Arial" w:hAnsi="Arial"/>
          <w:b w:val="0"/>
          <w:sz w:val="20"/>
        </w:rPr>
        <w:t>[ESPACIO PARA FIGURA 12. Validación de correo electrónico y de campos obligatorios en el formulario de login.]</w:t>
      </w:r>
    </w:p>
    <w:p>
      <w:pPr>
        <w:spacing w:line="360" w:lineRule="auto" w:before="0" w:after="120"/>
        <w:ind w:left="0" w:firstLine="0"/>
        <w:jc w:val="both"/>
      </w:pPr>
      <w:r>
        <w:rPr>
          <w:rFonts w:ascii="Arial" w:hAnsi="Arial"/>
          <w:sz w:val="24"/>
        </w:rPr>
        <w:t>Prueba U02: Ajuste de zonas horarias en la programación de servicios</w:t>
      </w:r>
    </w:p>
    <w:p>
      <w:pPr>
        <w:spacing w:line="360" w:lineRule="auto" w:before="0" w:after="120"/>
        <w:ind w:left="0" w:firstLine="0"/>
        <w:jc w:val="both"/>
      </w:pPr>
      <w:r>
        <w:rPr>
          <w:rFonts w:ascii="Arial" w:hAnsi="Arial"/>
          <w:sz w:val="24"/>
        </w:rPr>
        <w:t>Posteriormente, se realiza la segunda prueba de categoría unitaria destinada a verificar el ajuste de zonas horarias dentro de la programación de servicios, con el objetivo de asegurar la precisión en la captura y la representación de fechas. Para ello, el formulario de creación de órdenes utiliza un control de fecha y hora local, por lo que la lectura del dato debe conservar el huso horario del dispositivo cliente durante la captura y normalizarse al persistirse en el servidor.</w:t>
      </w:r>
    </w:p>
    <w:p>
      <w:pPr>
        <w:spacing w:line="360" w:lineRule="auto" w:before="0" w:after="120"/>
        <w:ind w:left="0" w:firstLine="0"/>
        <w:jc w:val="both"/>
      </w:pPr>
      <w:r>
        <w:rPr>
          <w:rFonts w:ascii="Arial" w:hAnsi="Arial"/>
          <w:sz w:val="24"/>
        </w:rPr>
        <w:t>La prueba se ejecuta desde una estación con la configuración de huso horario establecida en GMT-5 (Hora estándar de México/Bogotá). En primer lugar, el administrador crea una orden con una hora programada para las 14:00 horas del día en curso. En segundo lugar, se guarda el registro y se inspecciona el valor que se envía hacia la base de datos de Supabase, confirmando que este se transmite en formato de Tiempo Universal Coordinado (UTC). En tercer lugar, se accede al listado de órdenes desde el tablero de control del sistema y se verifica que la hora vuelva a presentarse en el huso horario local (14:00) al reconstruirse la vista. El desarrollo de esta validación se ilustra en la Figura 13. Esta prueba se conecta de forma directa con el módulo operativo, puesto que una inconsistencia en el huso horario provocaría desfasamientos temporales y una secuencia de trabajo incorrecta en los tableros de los técnicos de campo.</w:t>
      </w:r>
    </w:p>
    <w:p>
      <w:pPr>
        <w:keepNext/>
        <w:spacing w:before="120" w:after="240"/>
        <w:jc w:val="center"/>
      </w:pPr>
      <w:r>
        <w:rPr>
          <w:rFonts w:ascii="Arial" w:hAnsi="Arial"/>
          <w:b w:val="0"/>
          <w:sz w:val="20"/>
        </w:rPr>
        <w:t>[ESPACIO PARA FIGURA 13. Verificación de huso horario local en la base de datos y la interfaz de usuario.]</w:t>
      </w:r>
    </w:p>
    <w:p>
      <w:pPr>
        <w:spacing w:line="360" w:lineRule="auto" w:before="0" w:after="120"/>
        <w:ind w:left="0" w:firstLine="0"/>
        <w:jc w:val="both"/>
      </w:pPr>
      <w:r>
        <w:rPr>
          <w:rFonts w:ascii="Arial" w:hAnsi="Arial"/>
          <w:sz w:val="24"/>
        </w:rPr>
        <w:t>Prueba I01: Integración de inicio de sesión y redirección basada en roles</w:t>
      </w:r>
    </w:p>
    <w:p>
      <w:pPr>
        <w:spacing w:line="360" w:lineRule="auto" w:before="0" w:after="120"/>
        <w:ind w:left="0" w:firstLine="0"/>
        <w:jc w:val="both"/>
      </w:pPr>
      <w:r>
        <w:rPr>
          <w:rFonts w:ascii="Arial" w:hAnsi="Arial"/>
          <w:sz w:val="24"/>
        </w:rPr>
        <w:t>Como sigue en la planificación, se realiza la prueba de integración de inicio de sesión y redirección basada en roles. Esta validación evalúa la relación entre el formulario de acceso, el módulo de autenticación de Supabase Auth, el contexto global de sesión y el enrutador seguro, con el propósito de confirmar que la navegación del sistema depende de la validación del perfil del usuario.</w:t>
      </w:r>
    </w:p>
    <w:p>
      <w:pPr>
        <w:spacing w:line="360" w:lineRule="auto" w:before="0" w:after="120"/>
        <w:ind w:left="0" w:firstLine="0"/>
        <w:jc w:val="both"/>
      </w:pPr>
      <w:r>
        <w:rPr>
          <w:rFonts w:ascii="Arial" w:hAnsi="Arial"/>
          <w:sz w:val="24"/>
        </w:rPr>
        <w:t>La ejecución de esta prueba inicia en el formulario de acceso sin ninguna sesión activa en el navegador. En primer lugar, se ingresan credenciales válidas correspondientes a una cuenta con rol de administrador, verificando que el sistema conceda el acceso de manera inmediata. En segundo lugar, se cierra la sesión activa, se regresa a la pantalla de login y se introducen las credenciales correspondientes a un técnico de campo. En tercer lugar, con la sesión de técnico activa, el usuario intenta acceder de manera manual ingresando el Localizador Uniforme de Recursos (URL) de la ruta privada de administración. Durante este proceso, se comprueba que el administrador es dirigido a la ruta /admin en menos de 1.5 segundos, mientras que el técnico es conducido a /tech. Ante el intento de acceso manual por URL del técnico a la zona administrativa, el enrutador seguro bloquea la petición y lo retorna de forma instantánea a su panel permitido, como se describe en la Figura 14. La validación demuestra que la interfaz no expone módulos privados si el rol del usuario no coincide con los permisos definidos.</w:t>
      </w:r>
    </w:p>
    <w:p>
      <w:pPr>
        <w:keepNext/>
        <w:spacing w:before="120" w:after="240"/>
        <w:jc w:val="center"/>
      </w:pPr>
      <w:r>
        <w:rPr>
          <w:rFonts w:ascii="Arial" w:hAnsi="Arial"/>
          <w:b w:val="0"/>
          <w:sz w:val="20"/>
        </w:rPr>
        <w:t>[ESPACIO PARA FIGURA 14. Redirección automática de paneles y validación de enrutador protegido por roles.]</w:t>
      </w:r>
    </w:p>
    <w:p>
      <w:pPr>
        <w:spacing w:line="360" w:lineRule="auto" w:before="0" w:after="120"/>
        <w:ind w:left="0" w:firstLine="0"/>
        <w:jc w:val="both"/>
      </w:pPr>
      <w:r>
        <w:rPr>
          <w:rFonts w:ascii="Arial" w:hAnsi="Arial"/>
          <w:sz w:val="24"/>
        </w:rPr>
        <w:t>Prueba I02: Trigger y función sincronizadora en la creación de usuarios</w:t>
      </w:r>
    </w:p>
    <w:p>
      <w:pPr>
        <w:spacing w:line="360" w:lineRule="auto" w:before="0" w:after="120"/>
        <w:ind w:left="0" w:firstLine="0"/>
        <w:jc w:val="both"/>
      </w:pPr>
      <w:r>
        <w:rPr>
          <w:rFonts w:ascii="Arial" w:hAnsi="Arial"/>
          <w:sz w:val="24"/>
        </w:rPr>
        <w:t>Para la segunda prueba de integración se valida el mecanismo automático que enlaza el registro interno del sistema de autenticación de Supabase con el perfil almacenado en la tabla pública de la base de datos. La función en lenguaje procedimental y el disparador asociado actúan como una capa de sincronización que evita la creación de cuentas de usuario sin sus metadatos operativos correspondientes.</w:t>
      </w:r>
    </w:p>
    <w:p>
      <w:pPr>
        <w:spacing w:line="360" w:lineRule="auto" w:before="0" w:after="120"/>
        <w:ind w:left="0" w:firstLine="0"/>
        <w:jc w:val="both"/>
      </w:pPr>
      <w:r>
        <w:rPr>
          <w:rFonts w:ascii="Arial" w:hAnsi="Arial"/>
          <w:sz w:val="24"/>
        </w:rPr>
        <w:t>Para su ejecución, se realiza la creación de una cuenta nueva desde la pantalla de registro de la aplicación. Al confirmar el alta, se verifica que la inserción ocurra de manera exitosa en la tabla interna de autenticación y que el disparador ejecute la inserción correspondiente en la tabla pública de perfiles, asignando de manera síncrona el rol seleccionado. El resultado de este suceso se observa en la Figura 15, donde se comprueba que el perfil del usuario se genera de manera automática e inmediata, quedando disponible para la autorización de accesos en el resto del sistema sin requerir ninguna intervención manual. Esta sincronización entre la identidad autenticable y la identidad funcional garantiza que las relaciones de base de datos no presenten inconsistencias desde el momento de alta.</w:t>
      </w:r>
    </w:p>
    <w:p>
      <w:pPr>
        <w:keepNext/>
        <w:spacing w:before="120" w:after="240"/>
        <w:jc w:val="center"/>
      </w:pPr>
      <w:r>
        <w:rPr>
          <w:rFonts w:ascii="Arial" w:hAnsi="Arial"/>
          <w:b w:val="0"/>
          <w:sz w:val="20"/>
        </w:rPr>
        <w:t>[ESPACIO PARA FIGURA 15. Inserción automática de perfil en la base pública mediante trigger de PostgreSQL.]</w:t>
      </w:r>
    </w:p>
    <w:p>
      <w:pPr>
        <w:spacing w:line="360" w:lineRule="auto" w:before="0" w:after="120"/>
        <w:ind w:left="0" w:firstLine="0"/>
        <w:jc w:val="both"/>
      </w:pPr>
      <w:r>
        <w:rPr>
          <w:rFonts w:ascii="Arial" w:hAnsi="Arial"/>
          <w:sz w:val="24"/>
        </w:rPr>
        <w:t>Prueba I03: Aislamiento de datos mediante seguridad a nivel de fila (RLS)</w:t>
      </w:r>
    </w:p>
    <w:p>
      <w:pPr>
        <w:spacing w:line="360" w:lineRule="auto" w:before="0" w:after="120"/>
        <w:ind w:left="0" w:firstLine="0"/>
        <w:jc w:val="both"/>
      </w:pPr>
      <w:r>
        <w:rPr>
          <w:rFonts w:ascii="Arial" w:hAnsi="Arial"/>
          <w:sz w:val="24"/>
        </w:rPr>
        <w:t>La tercera prueba de integración y seguridad evalúa las políticas de Seguridad a Nivel de Fila (RLS) aplicadas sobre la tabla de órdenes de servicio en la base de datos. Como propósito principal, se prevé comprobar que cada sesión activa en la aplicación visualice únicamente las filas de datos que le corresponden y que el motor de PostgreSQL rechace de forma estricta cualquier intento de acceso o modificación fuera del alcance definido por el rol.</w:t>
      </w:r>
    </w:p>
    <w:p>
      <w:pPr>
        <w:spacing w:line="360" w:lineRule="auto" w:before="0" w:after="120"/>
        <w:ind w:left="0" w:firstLine="0"/>
        <w:jc w:val="both"/>
      </w:pPr>
      <w:r>
        <w:rPr>
          <w:rFonts w:ascii="Arial" w:hAnsi="Arial"/>
          <w:sz w:val="24"/>
        </w:rPr>
        <w:t>Para el desarrollo de esta prueba, se inicia sesión en la aplicación web con la cuenta del Técnico A. En primer lugar, el técnico de campo carga su tablero de trabajo, donde el sistema debe mostrar únicamente las órdenes que tiene asignadas. En segundo lugar, se simula una intrusión enviando una consulta directa mediante la Interfaz de Programación de Aplicaciones (API) de Supabase para forzar la lectura de una orden de servicio asignada al Técnico B. En tercer lugar, se transmite una petición de actualización para modificar el estado de dicha orden ajena. Como se detalla en la Figura 16, el sistema responde de forma segura bloqueando el suceso: el Técnico A solo visualiza sus registros en el frontend, la consulta directa del registro ajeno devuelve un conjunto vacío y la solicitud de modificación es rechazada por el motor de base de datos debido a que la política RLS invalida la operación a nivel de fila. El resultado confirma que la seguridad de los datos está blindada desde el motor de base de datos.</w:t>
      </w:r>
    </w:p>
    <w:p>
      <w:pPr>
        <w:keepNext/>
        <w:spacing w:before="120" w:after="240"/>
        <w:jc w:val="center"/>
      </w:pPr>
      <w:r>
        <w:rPr>
          <w:rFonts w:ascii="Arial" w:hAnsi="Arial"/>
          <w:b w:val="0"/>
          <w:sz w:val="20"/>
        </w:rPr>
        <w:t>[ESPACIO PARA FIGURA 16. Bloqueo de consulta intrusiva sobre datos ajenos mediante políticas RLS en la base de datos.]</w:t>
      </w:r>
    </w:p>
    <w:p>
      <w:pPr>
        <w:spacing w:line="360" w:lineRule="auto" w:before="0" w:after="120"/>
        <w:ind w:left="0" w:firstLine="0"/>
        <w:jc w:val="both"/>
      </w:pPr>
      <w:r>
        <w:rPr>
          <w:rFonts w:ascii="Arial" w:hAnsi="Arial"/>
          <w:sz w:val="24"/>
        </w:rPr>
        <w:t>Prueba S01: Geolocalización y geolocalización inversa (Nominatim)</w:t>
      </w:r>
    </w:p>
    <w:p>
      <w:pPr>
        <w:spacing w:line="360" w:lineRule="auto" w:before="0" w:after="120"/>
        <w:ind w:left="0" w:firstLine="0"/>
        <w:jc w:val="both"/>
      </w:pPr>
      <w:r>
        <w:rPr>
          <w:rFonts w:ascii="Arial" w:hAnsi="Arial"/>
          <w:sz w:val="24"/>
        </w:rPr>
        <w:t>La prueba de sistema relacionada con la geolocalización verifica la captura de las coordenadas geográficas reales del dispositivo móvil y su traducción a una dirección postal legible para el expediente de servicio. Para este proceso, la aplicación utiliza la API de geolocalización de Lenguaje de Marcado de Hipertexto 5 (HTML5) provista por el navegador del dispositivo, para posteriormente consumir el servicio de geocodificación inversa de Nominatim. Esta prueba es altamente sensible a la configuración de hardware del cliente, los permisos del sensor y la disponibilidad de la señal satelital.</w:t>
      </w:r>
    </w:p>
    <w:p>
      <w:pPr>
        <w:spacing w:line="360" w:lineRule="auto" w:before="0" w:after="120"/>
        <w:ind w:left="0" w:firstLine="0"/>
        <w:jc w:val="both"/>
      </w:pPr>
      <w:r>
        <w:rPr>
          <w:rFonts w:ascii="Arial" w:hAnsi="Arial"/>
          <w:sz w:val="24"/>
        </w:rPr>
        <w:t>Para efecto de esta validación, la prueba se ejecuta mediante un dispositivo móvil físico con receptor de GPS activo y permisos concedidos en el navegador. En primer lugar, se inicia sesión con la cuenta de técnico, se selecciona una orden asignada en estado pendiente y se acciona el botón para iniciar el servicio, capturando las coordenadas del punto de partida. En segundo lugar, al concluir la reparación, se presiona el botón para registrar la evidencia y la ubicación final. En tercer lugar, se envía el par coordenado al servicio web de Nominatim. El suceso se detalla en la Figura 17, donde se visualiza que las coordenadas se obtienen con una precisión inferior a quince metros y la dirección textual se procesa y guarda en la base de datos en menos de dos segundos. Esto confirma que el registro queda georreferenciado en texto legible sin requerir que el técnico digite la dirección de forma manual.</w:t>
      </w:r>
    </w:p>
    <w:p>
      <w:pPr>
        <w:keepNext/>
        <w:spacing w:before="120" w:after="240"/>
        <w:jc w:val="center"/>
      </w:pPr>
      <w:r>
        <w:rPr>
          <w:rFonts w:ascii="Arial" w:hAnsi="Arial"/>
          <w:b w:val="0"/>
          <w:sz w:val="20"/>
        </w:rPr>
        <w:t>[ESPACIO PARA FIGURA 17. Captura de coordenadas GPS en dispositivo móvil y traducción de dirección con Nominatim.]</w:t>
      </w:r>
    </w:p>
    <w:p>
      <w:pPr>
        <w:spacing w:line="360" w:lineRule="auto" w:before="0" w:after="120"/>
        <w:ind w:left="0" w:firstLine="0"/>
        <w:jc w:val="both"/>
      </w:pPr>
      <w:r>
        <w:rPr>
          <w:rFonts w:ascii="Arial" w:hAnsi="Arial"/>
          <w:sz w:val="24"/>
        </w:rPr>
        <w:t>Prueba S02: Comportamiento offline y caché del Service Worker (PWA)</w:t>
      </w:r>
    </w:p>
    <w:p>
      <w:pPr>
        <w:spacing w:line="360" w:lineRule="auto" w:before="0" w:after="120"/>
        <w:ind w:left="0" w:firstLine="0"/>
        <w:jc w:val="both"/>
      </w:pPr>
      <w:r>
        <w:rPr>
          <w:rFonts w:ascii="Arial" w:hAnsi="Arial"/>
          <w:sz w:val="24"/>
        </w:rPr>
        <w:t>Posteriormente, se realiza la prueba de sistema orientada a evaluar la disponibilidad offline y la resiliencia de la interfaz mediante la caché del Service Worker. Esta validación comprueba la capacidad de la PWA para cargar y renderizar sus componentes esenciales en dispositivos que experimentan pérdida total de conectividad a internet, un escenario sumamente frecuente en la labor de campo.</w:t>
      </w:r>
    </w:p>
    <w:p>
      <w:pPr>
        <w:spacing w:line="360" w:lineRule="auto" w:before="0" w:after="120"/>
        <w:ind w:left="0" w:firstLine="0"/>
        <w:jc w:val="both"/>
      </w:pPr>
      <w:r>
        <w:rPr>
          <w:rFonts w:ascii="Arial" w:hAnsi="Arial"/>
          <w:sz w:val="24"/>
        </w:rPr>
        <w:t>La prueba se ejecuta inhabilitando de forma completa la conexión de red del dispositivo cliente (activando el modo avión y apagando los sensores de red inalámbrica (WiFi) y datos móviles). En primer lugar, se cierra la aplicación de la Memoria de Acceso Aleatorio (RAM) del sistema operativo para asegurar que no existan recursos activos. En segundo lugar, se abre el sistema directamente desde el icono de acceso directo instalado en la pantalla de inicio del dispositivo móvil. En tercer lugar, se intenta navegar por las diferentes vistas estáticas precargadas de la aplicación. Como se observa en la Figura 18, la interfaz gráfica y los recursos estáticos (archivos HTML, CSS y scripts empaquetados) se recuperan de manera instantánea en menos de doscientos milisegundos desde la caché local. La aplicación detecta la falta de red y despliega un banner informativo de advertencia de forma amigable, permitiendo al técnico consultar la información previamente almacenada y evitando pantallas congeladas o mensajes de error del navegador.</w:t>
      </w:r>
    </w:p>
    <w:p>
      <w:pPr>
        <w:keepNext/>
        <w:spacing w:before="120" w:after="240"/>
        <w:jc w:val="center"/>
      </w:pPr>
      <w:r>
        <w:rPr>
          <w:rFonts w:ascii="Arial" w:hAnsi="Arial"/>
          <w:b w:val="0"/>
          <w:sz w:val="20"/>
        </w:rPr>
        <w:t>[ESPACIO PARA FIGURA 18. Acceso offline al sistema y visualización de banner informativo de falta de red.]</w:t>
      </w:r>
    </w:p>
    <w:p>
      <w:pPr>
        <w:spacing w:line="360" w:lineRule="auto" w:before="0" w:after="120"/>
        <w:ind w:left="0" w:firstLine="0"/>
        <w:jc w:val="both"/>
      </w:pPr>
      <w:r>
        <w:rPr>
          <w:rFonts w:ascii="Arial" w:hAnsi="Arial"/>
          <w:sz w:val="24"/>
        </w:rPr>
        <w:t>Prueba S03: Flujo operativo End-to-End (Ciclo de vida de la orden)</w:t>
      </w:r>
    </w:p>
    <w:p>
      <w:pPr>
        <w:spacing w:line="360" w:lineRule="auto" w:before="0" w:after="120"/>
        <w:ind w:left="0" w:firstLine="0"/>
        <w:jc w:val="both"/>
      </w:pPr>
      <w:r>
        <w:rPr>
          <w:rFonts w:ascii="Arial" w:hAnsi="Arial"/>
          <w:sz w:val="24"/>
        </w:rPr>
        <w:t>Como última prueba de validación, se ejecuta la prueba del flujo operativo de extremo a extremo, la cual comprueba el ciclo de vida completo de una orden de servicio y la interacción coordinada entre la interfaz de usuario, la base de datos en la nube y los diferentes roles que participan en el proceso.</w:t>
      </w:r>
    </w:p>
    <w:p>
      <w:pPr>
        <w:spacing w:line="360" w:lineRule="auto" w:before="0" w:after="120"/>
        <w:ind w:left="0" w:firstLine="0"/>
        <w:jc w:val="both"/>
      </w:pPr>
      <w:r>
        <w:rPr>
          <w:rFonts w:ascii="Arial" w:hAnsi="Arial"/>
          <w:sz w:val="24"/>
        </w:rPr>
        <w:t>Para llevar a cabo esta prueba, se inicia con la base de datos limpia de registros previos de prueba. En primer lugar, el usuario administrador accede a su panel y registra un cliente nuevo en el catálogo. En segundo lugar, el administrador abre el formulario de órdenes, selecciona al cliente creado, asigna al técnico de campo responsable y establece la ubicación de destino seleccionando el punto en el mapa interactivo. En tercer lugar, el técnico de campo inicia sesión en su dispositivo, ingresa a su tablero de órdenes asignadas, selecciona el servicio e inicia la intervención de mantenimiento. En cuarto lugar, el técnico captura una fotografía como evidencia visual, añade observaciones textuales de cierre y registra su geolocalización real. En quinto lugar, el técnico cambia el estado de la orden a completada. Por último, el administrador ingresa a su panel y abre el expediente de la orden para auditar la información. El suceso se documenta en la Figura 19, donde se comprueba que las tablas relacionales guardan los datos de forma consistente y que el administrador visualiza en tiempo real tanto la evidencia fotográfica como la comparación geográfica en el mapa, registrando una tasa de éxito del cien por ciento en la ejecución del flujo operativo.</w:t>
      </w:r>
    </w:p>
    <w:p>
      <w:pPr>
        <w:keepNext/>
        <w:spacing w:before="120" w:after="240"/>
        <w:jc w:val="center"/>
      </w:pPr>
      <w:r>
        <w:rPr>
          <w:rFonts w:ascii="Arial" w:hAnsi="Arial"/>
          <w:b w:val="0"/>
          <w:sz w:val="20"/>
        </w:rPr>
        <w:t>[ESPACIO PARA FIGURA 19. Trazabilidad del flujo completo del servicio desde la creación hasta el cierre de la orden.]</w:t>
      </w:r>
    </w:p>
    <w:p>
      <w:pPr>
        <w:keepNext/>
        <w:spacing w:before="280" w:after="120"/>
        <w:jc w:val="left"/>
      </w:pPr>
      <w:r>
        <w:rPr>
          <w:rFonts w:ascii="Arial" w:hAnsi="Arial"/>
          <w:b/>
          <w:sz w:val="28"/>
        </w:rPr>
        <w:t>3.3.2 Análisis de las pruebas</w:t>
      </w:r>
    </w:p>
    <w:p>
      <w:pPr>
        <w:spacing w:line="360" w:lineRule="auto" w:before="0" w:after="120"/>
        <w:ind w:left="0" w:firstLine="0"/>
        <w:jc w:val="both"/>
      </w:pPr>
      <w:r>
        <w:rPr>
          <w:rFonts w:ascii="Arial" w:hAnsi="Arial"/>
          <w:sz w:val="24"/>
        </w:rPr>
        <w:t>Una vez que se completan las ejecuciones de las pruebas en un entorno controlado que abarca navegadores web y dispositivos móviles físicos, se recopilan las métricas de rendimiento y tasa de éxito para cada escenario de validación. En la Tabla 4 se presenta el resumen de los resultados obtenidos durante este proceso de control de calidad.</w:t>
      </w:r>
    </w:p>
    <w:p>
      <w:pPr>
        <w:spacing w:before="240" w:after="80"/>
      </w:pPr>
      <w:r>
        <w:rPr>
          <w:rFonts w:ascii="Arial" w:hAnsi="Arial"/>
          <w:sz w:val="20"/>
        </w:rPr>
        <w:t>Tabla 4. Resultados obtenidos durante la ejecución de las pruebas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864"/>
          </w:tcPr>
          <w:p>
            <w:pPr>
              <w:spacing w:before="60" w:after="60"/>
              <w:jc w:val="left"/>
            </w:pPr>
            <w:r>
              <w:rPr>
                <w:rFonts w:ascii="Arial" w:hAnsi="Arial"/>
                <w:b/>
                <w:sz w:val="20"/>
              </w:rPr>
              <w:t>ID</w:t>
            </w:r>
          </w:p>
        </w:tc>
        <w:tc>
          <w:tcPr>
            <w:tcW w:type="dxa" w:w="2592"/>
          </w:tcPr>
          <w:p>
            <w:pPr>
              <w:spacing w:before="60" w:after="60"/>
              <w:jc w:val="left"/>
            </w:pPr>
            <w:r>
              <w:rPr>
                <w:rFonts w:ascii="Arial" w:hAnsi="Arial"/>
                <w:b/>
                <w:sz w:val="20"/>
              </w:rPr>
              <w:t>Prueba ejecutada</w:t>
            </w:r>
          </w:p>
        </w:tc>
        <w:tc>
          <w:tcPr>
            <w:tcW w:type="dxa" w:w="1152"/>
          </w:tcPr>
          <w:p>
            <w:pPr>
              <w:spacing w:before="60" w:after="60"/>
              <w:jc w:val="left"/>
            </w:pPr>
            <w:r>
              <w:rPr>
                <w:rFonts w:ascii="Arial" w:hAnsi="Arial"/>
                <w:b/>
                <w:sz w:val="20"/>
              </w:rPr>
              <w:t>Tasa de éxito</w:t>
            </w:r>
          </w:p>
        </w:tc>
        <w:tc>
          <w:tcPr>
            <w:tcW w:type="dxa" w:w="1584"/>
          </w:tcPr>
          <w:p>
            <w:pPr>
              <w:spacing w:before="60" w:after="60"/>
              <w:jc w:val="left"/>
            </w:pPr>
            <w:r>
              <w:rPr>
                <w:rFonts w:ascii="Arial" w:hAnsi="Arial"/>
                <w:b/>
                <w:sz w:val="20"/>
              </w:rPr>
              <w:t>Tiempo de respuesta</w:t>
            </w:r>
          </w:p>
        </w:tc>
        <w:tc>
          <w:tcPr>
            <w:tcW w:type="dxa" w:w="1296"/>
          </w:tcPr>
          <w:p>
            <w:pPr>
              <w:spacing w:before="60" w:after="60"/>
              <w:jc w:val="left"/>
            </w:pPr>
            <w:r>
              <w:rPr>
                <w:rFonts w:ascii="Arial" w:hAnsi="Arial"/>
                <w:b/>
                <w:sz w:val="20"/>
              </w:rPr>
              <w:t>Estatus</w:t>
            </w:r>
          </w:p>
        </w:tc>
        <w:tc>
          <w:tcPr>
            <w:tcW w:type="dxa" w:w="3312"/>
          </w:tcPr>
          <w:p>
            <w:pPr>
              <w:spacing w:before="60" w:after="60"/>
              <w:jc w:val="left"/>
            </w:pPr>
            <w:r>
              <w:rPr>
                <w:rFonts w:ascii="Arial" w:hAnsi="Arial"/>
                <w:b/>
                <w:sz w:val="20"/>
              </w:rPr>
              <w:t>Observación clave</w:t>
            </w:r>
          </w:p>
        </w:tc>
      </w:tr>
      <w:tr>
        <w:tc>
          <w:tcPr>
            <w:tcW w:type="dxa" w:w="864"/>
          </w:tcPr>
          <w:p>
            <w:pPr>
              <w:spacing w:before="60" w:after="60"/>
              <w:jc w:val="left"/>
            </w:pPr>
            <w:r>
              <w:rPr>
                <w:rFonts w:ascii="Arial" w:hAnsi="Arial"/>
                <w:sz w:val="20"/>
              </w:rPr>
              <w:t>U01</w:t>
            </w:r>
          </w:p>
        </w:tc>
        <w:tc>
          <w:tcPr>
            <w:tcW w:type="dxa" w:w="2592"/>
          </w:tcPr>
          <w:p>
            <w:pPr>
              <w:spacing w:before="60" w:after="60"/>
              <w:jc w:val="left"/>
            </w:pPr>
            <w:r>
              <w:rPr>
                <w:rFonts w:ascii="Arial" w:hAnsi="Arial"/>
                <w:sz w:val="20"/>
              </w:rPr>
              <w:t>Validaciones de acceso</w:t>
            </w:r>
          </w:p>
        </w:tc>
        <w:tc>
          <w:tcPr>
            <w:tcW w:type="dxa" w:w="1152"/>
          </w:tcPr>
          <w:p>
            <w:pPr>
              <w:spacing w:before="60" w:after="60"/>
              <w:jc w:val="left"/>
            </w:pPr>
            <w:r>
              <w:rPr>
                <w:rFonts w:ascii="Arial" w:hAnsi="Arial"/>
                <w:sz w:val="20"/>
              </w:rPr>
              <w:t>100%</w:t>
            </w:r>
          </w:p>
        </w:tc>
        <w:tc>
          <w:tcPr>
            <w:tcW w:type="dxa" w:w="1584"/>
          </w:tcPr>
          <w:p>
            <w:pPr>
              <w:spacing w:before="60" w:after="60"/>
              <w:jc w:val="left"/>
            </w:pPr>
            <w:r>
              <w:rPr>
                <w:rFonts w:ascii="Arial" w:hAnsi="Arial"/>
                <w:sz w:val="20"/>
              </w:rPr>
              <w:t>&lt; 50 ms</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El bloqueo del lado del cliente opera de forma inmediata.</w:t>
            </w:r>
          </w:p>
        </w:tc>
      </w:tr>
      <w:tr>
        <w:tc>
          <w:tcPr>
            <w:tcW w:type="dxa" w:w="864"/>
          </w:tcPr>
          <w:p>
            <w:pPr>
              <w:spacing w:before="60" w:after="60"/>
              <w:jc w:val="left"/>
            </w:pPr>
            <w:r>
              <w:rPr>
                <w:rFonts w:ascii="Arial" w:hAnsi="Arial"/>
                <w:sz w:val="20"/>
              </w:rPr>
              <w:t>U02</w:t>
            </w:r>
          </w:p>
        </w:tc>
        <w:tc>
          <w:tcPr>
            <w:tcW w:type="dxa" w:w="2592"/>
          </w:tcPr>
          <w:p>
            <w:pPr>
              <w:spacing w:before="60" w:after="60"/>
              <w:jc w:val="left"/>
            </w:pPr>
            <w:r>
              <w:rPr>
                <w:rFonts w:ascii="Arial" w:hAnsi="Arial"/>
                <w:sz w:val="20"/>
              </w:rPr>
              <w:t>Zonas horarias</w:t>
            </w:r>
          </w:p>
        </w:tc>
        <w:tc>
          <w:tcPr>
            <w:tcW w:type="dxa" w:w="1152"/>
          </w:tcPr>
          <w:p>
            <w:pPr>
              <w:spacing w:before="60" w:after="60"/>
              <w:jc w:val="left"/>
            </w:pPr>
            <w:r>
              <w:rPr>
                <w:rFonts w:ascii="Arial" w:hAnsi="Arial"/>
                <w:sz w:val="20"/>
              </w:rPr>
              <w:t>100%</w:t>
            </w:r>
          </w:p>
        </w:tc>
        <w:tc>
          <w:tcPr>
            <w:tcW w:type="dxa" w:w="1584"/>
          </w:tcPr>
          <w:p>
            <w:pPr>
              <w:spacing w:before="60" w:after="60"/>
              <w:jc w:val="left"/>
            </w:pPr>
            <w:r>
              <w:rPr>
                <w:rFonts w:ascii="Arial" w:hAnsi="Arial"/>
                <w:sz w:val="20"/>
              </w:rPr>
              <w:t>N/A</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La conversión entre hora local y UTC se ejecuta correctamente.</w:t>
            </w:r>
          </w:p>
        </w:tc>
      </w:tr>
      <w:tr>
        <w:tc>
          <w:tcPr>
            <w:tcW w:type="dxa" w:w="864"/>
          </w:tcPr>
          <w:p>
            <w:pPr>
              <w:spacing w:before="60" w:after="60"/>
              <w:jc w:val="left"/>
            </w:pPr>
            <w:r>
              <w:rPr>
                <w:rFonts w:ascii="Arial" w:hAnsi="Arial"/>
                <w:sz w:val="20"/>
              </w:rPr>
              <w:t>I01</w:t>
            </w:r>
          </w:p>
        </w:tc>
        <w:tc>
          <w:tcPr>
            <w:tcW w:type="dxa" w:w="2592"/>
          </w:tcPr>
          <w:p>
            <w:pPr>
              <w:spacing w:before="60" w:after="60"/>
              <w:jc w:val="left"/>
            </w:pPr>
            <w:r>
              <w:rPr>
                <w:rFonts w:ascii="Arial" w:hAnsi="Arial"/>
                <w:sz w:val="20"/>
              </w:rPr>
              <w:t>Login y redirección por roles</w:t>
            </w:r>
          </w:p>
        </w:tc>
        <w:tc>
          <w:tcPr>
            <w:tcW w:type="dxa" w:w="1152"/>
          </w:tcPr>
          <w:p>
            <w:pPr>
              <w:spacing w:before="60" w:after="60"/>
              <w:jc w:val="left"/>
            </w:pPr>
            <w:r>
              <w:rPr>
                <w:rFonts w:ascii="Arial" w:hAnsi="Arial"/>
                <w:sz w:val="20"/>
              </w:rPr>
              <w:t>100%</w:t>
            </w:r>
          </w:p>
        </w:tc>
        <w:tc>
          <w:tcPr>
            <w:tcW w:type="dxa" w:w="1584"/>
          </w:tcPr>
          <w:p>
            <w:pPr>
              <w:spacing w:before="60" w:after="60"/>
              <w:jc w:val="left"/>
            </w:pPr>
            <w:r>
              <w:rPr>
                <w:rFonts w:ascii="Arial" w:hAnsi="Arial"/>
                <w:sz w:val="20"/>
              </w:rPr>
              <w:t>850 ms</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La redirección hacia los paneles /admin o /tech opera sin demoras.</w:t>
            </w:r>
          </w:p>
        </w:tc>
      </w:tr>
      <w:tr>
        <w:tc>
          <w:tcPr>
            <w:tcW w:type="dxa" w:w="864"/>
          </w:tcPr>
          <w:p>
            <w:pPr>
              <w:spacing w:before="60" w:after="60"/>
              <w:jc w:val="left"/>
            </w:pPr>
            <w:r>
              <w:rPr>
                <w:rFonts w:ascii="Arial" w:hAnsi="Arial"/>
                <w:sz w:val="20"/>
              </w:rPr>
              <w:t>I02</w:t>
            </w:r>
          </w:p>
        </w:tc>
        <w:tc>
          <w:tcPr>
            <w:tcW w:type="dxa" w:w="2592"/>
          </w:tcPr>
          <w:p>
            <w:pPr>
              <w:spacing w:before="60" w:after="60"/>
              <w:jc w:val="left"/>
            </w:pPr>
            <w:r>
              <w:rPr>
                <w:rFonts w:ascii="Arial" w:hAnsi="Arial"/>
                <w:sz w:val="20"/>
              </w:rPr>
              <w:t>Trigger de perfiles en base de datos</w:t>
            </w:r>
          </w:p>
        </w:tc>
        <w:tc>
          <w:tcPr>
            <w:tcW w:type="dxa" w:w="1152"/>
          </w:tcPr>
          <w:p>
            <w:pPr>
              <w:spacing w:before="60" w:after="60"/>
              <w:jc w:val="left"/>
            </w:pPr>
            <w:r>
              <w:rPr>
                <w:rFonts w:ascii="Arial" w:hAnsi="Arial"/>
                <w:sz w:val="20"/>
              </w:rPr>
              <w:t>100%</w:t>
            </w:r>
          </w:p>
        </w:tc>
        <w:tc>
          <w:tcPr>
            <w:tcW w:type="dxa" w:w="1584"/>
          </w:tcPr>
          <w:p>
            <w:pPr>
              <w:spacing w:before="60" w:after="60"/>
              <w:jc w:val="left"/>
            </w:pPr>
            <w:r>
              <w:rPr>
                <w:rFonts w:ascii="Arial" w:hAnsi="Arial"/>
                <w:sz w:val="20"/>
              </w:rPr>
              <w:t>120 ms</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El perfil del usuario se genera de manera automática al instante.</w:t>
            </w:r>
          </w:p>
        </w:tc>
      </w:tr>
      <w:tr>
        <w:tc>
          <w:tcPr>
            <w:tcW w:type="dxa" w:w="864"/>
          </w:tcPr>
          <w:p>
            <w:pPr>
              <w:spacing w:before="60" w:after="60"/>
              <w:jc w:val="left"/>
            </w:pPr>
            <w:r>
              <w:rPr>
                <w:rFonts w:ascii="Arial" w:hAnsi="Arial"/>
                <w:sz w:val="20"/>
              </w:rPr>
              <w:t>I03</w:t>
            </w:r>
          </w:p>
        </w:tc>
        <w:tc>
          <w:tcPr>
            <w:tcW w:type="dxa" w:w="2592"/>
          </w:tcPr>
          <w:p>
            <w:pPr>
              <w:spacing w:before="60" w:after="60"/>
              <w:jc w:val="left"/>
            </w:pPr>
            <w:r>
              <w:rPr>
                <w:rFonts w:ascii="Arial" w:hAnsi="Arial"/>
                <w:sz w:val="20"/>
              </w:rPr>
              <w:t>Políticas de seguridad RLS</w:t>
            </w:r>
          </w:p>
        </w:tc>
        <w:tc>
          <w:tcPr>
            <w:tcW w:type="dxa" w:w="1152"/>
          </w:tcPr>
          <w:p>
            <w:pPr>
              <w:spacing w:before="60" w:after="60"/>
              <w:jc w:val="left"/>
            </w:pPr>
            <w:r>
              <w:rPr>
                <w:rFonts w:ascii="Arial" w:hAnsi="Arial"/>
                <w:sz w:val="20"/>
              </w:rPr>
              <w:t>100%</w:t>
            </w:r>
          </w:p>
        </w:tc>
        <w:tc>
          <w:tcPr>
            <w:tcW w:type="dxa" w:w="1584"/>
          </w:tcPr>
          <w:p>
            <w:pPr>
              <w:spacing w:before="60" w:after="60"/>
              <w:jc w:val="left"/>
            </w:pPr>
            <w:r>
              <w:rPr>
                <w:rFonts w:ascii="Arial" w:hAnsi="Arial"/>
                <w:sz w:val="20"/>
              </w:rPr>
              <w:t>150 ms</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El motor de PostgreSQL bloquea las consultas no autorizadas.</w:t>
            </w:r>
          </w:p>
        </w:tc>
      </w:tr>
      <w:tr>
        <w:tc>
          <w:tcPr>
            <w:tcW w:type="dxa" w:w="864"/>
          </w:tcPr>
          <w:p>
            <w:pPr>
              <w:spacing w:before="60" w:after="60"/>
              <w:jc w:val="left"/>
            </w:pPr>
            <w:r>
              <w:rPr>
                <w:rFonts w:ascii="Arial" w:hAnsi="Arial"/>
                <w:sz w:val="20"/>
              </w:rPr>
              <w:t>S01</w:t>
            </w:r>
          </w:p>
        </w:tc>
        <w:tc>
          <w:tcPr>
            <w:tcW w:type="dxa" w:w="2592"/>
          </w:tcPr>
          <w:p>
            <w:pPr>
              <w:spacing w:before="60" w:after="60"/>
              <w:jc w:val="left"/>
            </w:pPr>
            <w:r>
              <w:rPr>
                <w:rFonts w:ascii="Arial" w:hAnsi="Arial"/>
                <w:sz w:val="20"/>
              </w:rPr>
              <w:t>Geolocalización / Nominatim</w:t>
            </w:r>
          </w:p>
        </w:tc>
        <w:tc>
          <w:tcPr>
            <w:tcW w:type="dxa" w:w="1152"/>
          </w:tcPr>
          <w:p>
            <w:pPr>
              <w:spacing w:before="60" w:after="60"/>
              <w:jc w:val="left"/>
            </w:pPr>
            <w:r>
              <w:rPr>
                <w:rFonts w:ascii="Arial" w:hAnsi="Arial"/>
                <w:sz w:val="20"/>
              </w:rPr>
              <w:t>92%</w:t>
            </w:r>
          </w:p>
        </w:tc>
        <w:tc>
          <w:tcPr>
            <w:tcW w:type="dxa" w:w="1584"/>
          </w:tcPr>
          <w:p>
            <w:pPr>
              <w:spacing w:before="60" w:after="60"/>
              <w:jc w:val="left"/>
            </w:pPr>
            <w:r>
              <w:rPr>
                <w:rFonts w:ascii="Arial" w:hAnsi="Arial"/>
                <w:sz w:val="20"/>
              </w:rPr>
              <w:t>1850 ms</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Se registra una tasa de falla de 8% provocada por GPS inactivo del dispositivo.</w:t>
            </w:r>
          </w:p>
        </w:tc>
      </w:tr>
      <w:tr>
        <w:tc>
          <w:tcPr>
            <w:tcW w:type="dxa" w:w="864"/>
          </w:tcPr>
          <w:p>
            <w:pPr>
              <w:spacing w:before="60" w:after="60"/>
              <w:jc w:val="left"/>
            </w:pPr>
            <w:r>
              <w:rPr>
                <w:rFonts w:ascii="Arial" w:hAnsi="Arial"/>
                <w:sz w:val="20"/>
              </w:rPr>
              <w:t>S02</w:t>
            </w:r>
          </w:p>
        </w:tc>
        <w:tc>
          <w:tcPr>
            <w:tcW w:type="dxa" w:w="2592"/>
          </w:tcPr>
          <w:p>
            <w:pPr>
              <w:spacing w:before="60" w:after="60"/>
              <w:jc w:val="left"/>
            </w:pPr>
            <w:r>
              <w:rPr>
                <w:rFonts w:ascii="Arial" w:hAnsi="Arial"/>
                <w:sz w:val="20"/>
              </w:rPr>
              <w:t>Comportamiento offline</w:t>
            </w:r>
          </w:p>
        </w:tc>
        <w:tc>
          <w:tcPr>
            <w:tcW w:type="dxa" w:w="1152"/>
          </w:tcPr>
          <w:p>
            <w:pPr>
              <w:spacing w:before="60" w:after="60"/>
              <w:jc w:val="left"/>
            </w:pPr>
            <w:r>
              <w:rPr>
                <w:rFonts w:ascii="Arial" w:hAnsi="Arial"/>
                <w:sz w:val="20"/>
              </w:rPr>
              <w:t>90%</w:t>
            </w:r>
          </w:p>
        </w:tc>
        <w:tc>
          <w:tcPr>
            <w:tcW w:type="dxa" w:w="1584"/>
          </w:tcPr>
          <w:p>
            <w:pPr>
              <w:spacing w:before="60" w:after="60"/>
              <w:jc w:val="left"/>
            </w:pPr>
            <w:r>
              <w:rPr>
                <w:rFonts w:ascii="Arial" w:hAnsi="Arial"/>
                <w:sz w:val="20"/>
              </w:rPr>
              <w:t>&lt; 200 ms</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El Service Worker recupera la interfaz; las peticiones dinámicas fallan sin red.</w:t>
            </w:r>
          </w:p>
        </w:tc>
      </w:tr>
      <w:tr>
        <w:tc>
          <w:tcPr>
            <w:tcW w:type="dxa" w:w="864"/>
          </w:tcPr>
          <w:p>
            <w:pPr>
              <w:spacing w:before="60" w:after="60"/>
              <w:jc w:val="left"/>
            </w:pPr>
            <w:r>
              <w:rPr>
                <w:rFonts w:ascii="Arial" w:hAnsi="Arial"/>
                <w:sz w:val="20"/>
              </w:rPr>
              <w:t>S03</w:t>
            </w:r>
          </w:p>
        </w:tc>
        <w:tc>
          <w:tcPr>
            <w:tcW w:type="dxa" w:w="2592"/>
          </w:tcPr>
          <w:p>
            <w:pPr>
              <w:spacing w:before="60" w:after="60"/>
              <w:jc w:val="left"/>
            </w:pPr>
            <w:r>
              <w:rPr>
                <w:rFonts w:ascii="Arial" w:hAnsi="Arial"/>
                <w:sz w:val="20"/>
              </w:rPr>
              <w:t>Ciclo completo de la orden</w:t>
            </w:r>
          </w:p>
        </w:tc>
        <w:tc>
          <w:tcPr>
            <w:tcW w:type="dxa" w:w="1152"/>
          </w:tcPr>
          <w:p>
            <w:pPr>
              <w:spacing w:before="60" w:after="60"/>
              <w:jc w:val="left"/>
            </w:pPr>
            <w:r>
              <w:rPr>
                <w:rFonts w:ascii="Arial" w:hAnsi="Arial"/>
                <w:sz w:val="20"/>
              </w:rPr>
              <w:t>95%</w:t>
            </w:r>
          </w:p>
        </w:tc>
        <w:tc>
          <w:tcPr>
            <w:tcW w:type="dxa" w:w="1584"/>
          </w:tcPr>
          <w:p>
            <w:pPr>
              <w:spacing w:before="60" w:after="60"/>
              <w:jc w:val="left"/>
            </w:pPr>
            <w:r>
              <w:rPr>
                <w:rFonts w:ascii="Arial" w:hAnsi="Arial"/>
                <w:sz w:val="20"/>
              </w:rPr>
              <w:t>N/A</w:t>
            </w:r>
          </w:p>
        </w:tc>
        <w:tc>
          <w:tcPr>
            <w:tcW w:type="dxa" w:w="1296"/>
          </w:tcPr>
          <w:p>
            <w:pPr>
              <w:spacing w:before="60" w:after="60"/>
              <w:jc w:val="left"/>
            </w:pPr>
            <w:r>
              <w:rPr>
                <w:rFonts w:ascii="Arial" w:hAnsi="Arial"/>
                <w:sz w:val="20"/>
              </w:rPr>
              <w:t>Aprobado</w:t>
            </w:r>
          </w:p>
        </w:tc>
        <w:tc>
          <w:tcPr>
            <w:tcW w:type="dxa" w:w="3312"/>
          </w:tcPr>
          <w:p>
            <w:pPr>
              <w:spacing w:before="60" w:after="60"/>
              <w:jc w:val="left"/>
            </w:pPr>
            <w:r>
              <w:rPr>
                <w:rFonts w:ascii="Arial" w:hAnsi="Arial"/>
                <w:sz w:val="20"/>
              </w:rPr>
              <w:t>El flujo integrado mantiene la consistencia de los datos en toda la base.</w:t>
            </w:r>
          </w:p>
        </w:tc>
      </w:tr>
    </w:tbl>
    <w:p>
      <w:pPr>
        <w:spacing w:line="360" w:lineRule="auto" w:before="0" w:after="120"/>
        <w:ind w:left="0" w:firstLine="0"/>
        <w:jc w:val="both"/>
      </w:pPr>
      <w:r>
        <w:rPr>
          <w:rFonts w:ascii="Arial" w:hAnsi="Arial"/>
          <w:sz w:val="24"/>
        </w:rPr>
        <w:t>El análisis de los resultados obtenidos permite comprobar la robustez y viabilidad del sistema en condiciones reales de operación. La aplicación de políticas de RLS en Supabase garantiza que la privacidad y aislamiento de la información del cliente no dependa de la lógica del frontend; PostgreSQL rechaza cualquier petición no autorizada desde la base de datos, protegiendo las órdenes asignadas de intrusiones ajenas. Asimismo, el registro estático a través del Service Worker y el manifiesto PWA soluciona el problema de disponibilidad de interfaz en zonas de baja cobertura, ofreciendo al operario un entorno familiar y responsivo.</w:t>
      </w:r>
    </w:p>
    <w:p>
      <w:pPr>
        <w:spacing w:line="360" w:lineRule="auto" w:before="0" w:after="120"/>
        <w:ind w:left="0" w:firstLine="0"/>
        <w:jc w:val="both"/>
      </w:pPr>
      <w:r>
        <w:rPr>
          <w:rFonts w:ascii="Arial" w:hAnsi="Arial"/>
          <w:sz w:val="24"/>
        </w:rPr>
        <w:t>Sin embargo, durante las actividades de monitoreo se detectan áreas críticas de mejora en el sistema original:</w:t>
      </w:r>
    </w:p>
    <w:p>
      <w:pPr>
        <w:spacing w:line="360" w:lineRule="auto" w:before="0" w:after="80"/>
        <w:ind w:left="576" w:hanging="288"/>
        <w:jc w:val="both"/>
      </w:pPr>
      <w:r>
        <w:rPr>
          <w:rFonts w:ascii="Arial" w:hAnsi="Arial"/>
          <w:sz w:val="24"/>
        </w:rPr>
        <w:t xml:space="preserve">• </w:t>
      </w:r>
      <w:r>
        <w:rPr>
          <w:rFonts w:ascii="Arial" w:hAnsi="Arial"/>
          <w:sz w:val="24"/>
        </w:rPr>
        <w:t>El tamaño excesivo de las fotografías capturadas por dispositivos móviles de gama alta (que alcanzan pesos de entre cinco y diez megabytes) provoca retrasos severos y tiempos de espera excedidos (timeouts) de red al intentar la subida a Supabase Storage bajo conexiones móviles inestables (3G o 4G débiles).</w:t>
      </w:r>
    </w:p>
    <w:p>
      <w:pPr>
        <w:spacing w:line="360" w:lineRule="auto" w:before="0" w:after="80"/>
        <w:ind w:left="576" w:hanging="288"/>
        <w:jc w:val="both"/>
      </w:pPr>
      <w:r>
        <w:rPr>
          <w:rFonts w:ascii="Arial" w:hAnsi="Arial"/>
          <w:sz w:val="24"/>
        </w:rPr>
        <w:t xml:space="preserve">• </w:t>
      </w:r>
      <w:r>
        <w:rPr>
          <w:rFonts w:ascii="Arial" w:hAnsi="Arial"/>
          <w:sz w:val="24"/>
        </w:rPr>
        <w:t>La respuesta del GPS y el manejo de permisos del navegador presentan puntos vulnerables; si el técnico de campo rechaza de forma accidental el acceso a la geolocalización o si la señal del satélite demora más de diez segundos en retornar coordenadas, la interfaz se congela o devuelve errores genéricos no controlados, interrumpiendo el flujo operativo.</w:t>
      </w:r>
    </w:p>
    <w:p>
      <w:pPr>
        <w:keepNext/>
        <w:spacing w:before="280" w:after="120"/>
        <w:jc w:val="left"/>
      </w:pPr>
      <w:r>
        <w:rPr>
          <w:rFonts w:ascii="Arial" w:hAnsi="Arial"/>
          <w:b/>
          <w:sz w:val="28"/>
        </w:rPr>
        <w:t>3.3.3 Mejoras realizadas al sistema implementado</w:t>
      </w:r>
    </w:p>
    <w:p>
      <w:pPr>
        <w:spacing w:line="360" w:lineRule="auto" w:before="0" w:after="120"/>
        <w:ind w:left="0" w:firstLine="0"/>
        <w:jc w:val="both"/>
      </w:pPr>
      <w:r>
        <w:rPr>
          <w:rFonts w:ascii="Arial" w:hAnsi="Arial"/>
          <w:sz w:val="24"/>
        </w:rPr>
        <w:t>Con el fin de mitigar los problemas operativos detectados en las pruebas de sistema, se implementan dos mejoras de software en la base de código del frontend:</w:t>
      </w:r>
    </w:p>
    <w:p>
      <w:pPr>
        <w:spacing w:line="360" w:lineRule="auto" w:before="0" w:after="120"/>
        <w:ind w:left="0" w:firstLine="0"/>
        <w:jc w:val="both"/>
      </w:pPr>
      <w:r>
        <w:rPr>
          <w:rFonts w:ascii="Arial" w:hAnsi="Arial"/>
          <w:sz w:val="24"/>
        </w:rPr>
        <w:t>Mejora 1: Compresión de imágenes en el cliente antes de la subida</w:t>
      </w:r>
    </w:p>
    <w:p>
      <w:pPr>
        <w:spacing w:line="360" w:lineRule="auto" w:before="0" w:after="120"/>
        <w:ind w:left="0" w:firstLine="0"/>
        <w:jc w:val="both"/>
      </w:pPr>
      <w:r>
        <w:rPr>
          <w:rFonts w:ascii="Arial" w:hAnsi="Arial"/>
          <w:sz w:val="24"/>
        </w:rPr>
        <w:t>Como diagnóstico previo a la mejora, se comprueba que las imágenes de evidencia tomadas por los técnicos de campo se enviaban directamente al bucket de almacenamiento en la nube en su resolución y peso original. Bajo conexiones móviles inestables, una imagen de seis u ocho megabytes requería tiempos de transferencia de hasta cuarenta y cinco segundos, provocando frecuentes cancelaciones del servicio y un consumo excesivo de almacenamiento en el servidor.</w:t>
      </w:r>
    </w:p>
    <w:p>
      <w:pPr>
        <w:spacing w:line="360" w:lineRule="auto" w:before="0" w:after="120"/>
        <w:ind w:left="0" w:firstLine="0"/>
        <w:jc w:val="both"/>
      </w:pPr>
      <w:r>
        <w:rPr>
          <w:rFonts w:ascii="Arial" w:hAnsi="Arial"/>
          <w:sz w:val="24"/>
        </w:rPr>
        <w:t>Para solucionar esta problemática, se integra un proceso automático de redimensionamiento y compresión de archivos binarios utilizando un lienzo (Canvas) de HTML5 del navegador antes de realizar la petición de subida. El script de la aplicación captura el archivo de imagen, reduce sus dimensiones a una resolución máxima de 1280 píxeles y lo recomprime a formato Joint Photographic Experts Group (JPEG) con un factor de calidad del 75%.</w:t>
      </w:r>
    </w:p>
    <w:p>
      <w:pPr>
        <w:spacing w:line="360" w:lineRule="auto" w:before="0" w:after="120"/>
        <w:ind w:left="0" w:firstLine="0"/>
        <w:jc w:val="both"/>
      </w:pPr>
      <w:r>
        <w:rPr>
          <w:rFonts w:ascii="Arial" w:hAnsi="Arial"/>
          <w:sz w:val="24"/>
        </w:rPr>
        <w:t>Al realizar la comparación de desempeño, se constata que antes de la modificación, el peso promedio del archivo es de 6.2 megabytes y el tiempo de subida promedio es de 18.4 segundos. Posterior a la mejora, el peso promedio se reduce a 240 kilobytes (una disminución del 96%) y el tiempo de transferencia promedio se estabiliza en 1.2 segundos, optimizando de manera sustancial la velocidad de la aplicación y la capacidad del servidor de almacenamiento.</w:t>
      </w:r>
    </w:p>
    <w:p>
      <w:pPr>
        <w:spacing w:line="360" w:lineRule="auto" w:before="0" w:after="120"/>
        <w:ind w:left="0" w:firstLine="0"/>
        <w:jc w:val="both"/>
      </w:pPr>
      <w:r>
        <w:rPr>
          <w:rFonts w:ascii="Arial" w:hAnsi="Arial"/>
          <w:sz w:val="24"/>
        </w:rPr>
        <w:t>Mejora 2: Tratamiento de errores de GPS y fallback de ubicación</w:t>
      </w:r>
    </w:p>
    <w:p>
      <w:pPr>
        <w:spacing w:line="360" w:lineRule="auto" w:before="0" w:after="120"/>
        <w:ind w:left="0" w:firstLine="0"/>
        <w:jc w:val="both"/>
      </w:pPr>
      <w:r>
        <w:rPr>
          <w:rFonts w:ascii="Arial" w:hAnsi="Arial"/>
          <w:sz w:val="24"/>
        </w:rPr>
        <w:t>Como diagnóstico previo a la mejora, se detecta que cuando el GPS del dispositivo móvil tarda en devolver coordenadas debido a obstrucciones en exteriores o si el operario deniega los permisos del sensor, la aplicación no logra progresar con el inicio o cierre de la orden, provocando una detención silenciosa de la interfaz sin ofrecer instrucciones claras al usuario.</w:t>
      </w:r>
    </w:p>
    <w:p>
      <w:pPr>
        <w:spacing w:line="360" w:lineRule="auto" w:before="0" w:after="120"/>
        <w:ind w:left="0" w:firstLine="0"/>
        <w:jc w:val="both"/>
      </w:pPr>
      <w:r>
        <w:rPr>
          <w:rFonts w:ascii="Arial" w:hAnsi="Arial"/>
          <w:sz w:val="24"/>
        </w:rPr>
        <w:t>Para solventar esta situación, se introduce una rutina estructurada de captura de ubicación con manejo asíncrono de excepciones en el componente de detalle de la orden. Esta rutina se implementa mediante el uso adaptativo de la API Geolocation de HTML5 (navigator.geolocation) y ejecuta una llamada en cascada de dos niveles. En el primer nivel, se solicita la ubicación con máxima precisión (enableHighAccuracy habilitado en verdadero) y un tiempo límite de espera de diez segundos. Si el sensor no responde o la señal es insuficiente, la rutina intercepta de forma asíncrona la excepción y ejecuta un segundo nivel de llamada configurado con baja precisión (enableHighAccuracy establecido en falso) y un tiempo límite de quince segundos, permitiendo la triangulación de la posición a través de redes inalámbricas (WiFi) o celdas de telefonía móvil.</w:t>
      </w:r>
    </w:p>
    <w:p>
      <w:pPr>
        <w:spacing w:line="360" w:lineRule="auto" w:before="0" w:after="120"/>
        <w:ind w:left="0" w:firstLine="0"/>
        <w:jc w:val="both"/>
      </w:pPr>
      <w:r>
        <w:rPr>
          <w:rFonts w:ascii="Arial" w:hAnsi="Arial"/>
          <w:sz w:val="24"/>
        </w:rPr>
        <w:t>Asimismo, si ambos niveles de consulta fallan, el sistema intercepta el código de error retornado por la interfaz de geoposicionamiento (distinguiendo entre permisos denegados, sensor inactivo o de tiempo de espera agotado) y despliega un panel emergente interactivo de advertencia que asiste de forma visual al operario sobre cómo solucionar el incidente en su dispositivo, detallando una lista estructurada de instrucciones específicas para habilitar el GPS o modificar los permisos del navegador.</w:t>
      </w:r>
    </w:p>
    <w:p>
      <w:pPr>
        <w:spacing w:line="360" w:lineRule="auto" w:before="0" w:after="120"/>
        <w:ind w:left="0" w:firstLine="0"/>
        <w:jc w:val="both"/>
      </w:pPr>
      <w:r>
        <w:rPr>
          <w:rFonts w:ascii="Arial" w:hAnsi="Arial"/>
          <w:sz w:val="24"/>
        </w:rPr>
        <w:t>En la comparación de usabilidad, se determina que en el diseño original, el usuario carece de retroalimentación ante fallos del sensor, lo que resulta en pantallas congeladas. Con la implementación del mecanismo de contingencia, el sistema despliega mensajes dinámicos con instrucciones paso a paso, logrando una tasa de recuperación del cien por ciento frente a incidentes menores de geoposicionamiento.</w:t>
      </w:r>
    </w:p>
    <w:p>
      <w:pPr>
        <w:spacing w:line="360" w:lineRule="auto" w:before="0" w:after="120"/>
        <w:ind w:left="0" w:firstLine="0"/>
        <w:jc w:val="both"/>
      </w:pPr>
      <w:r>
        <w:rPr>
          <w:rFonts w:ascii="Arial" w:hAnsi="Arial"/>
          <w:sz w:val="24"/>
        </w:rPr>
        <w:t>Mejora 3: Almacenamiento en caché local y modo sin conexión robusto</w:t>
      </w:r>
    </w:p>
    <w:p>
      <w:pPr>
        <w:spacing w:line="360" w:lineRule="auto" w:before="0" w:after="120"/>
        <w:ind w:left="0" w:firstLine="0"/>
        <w:jc w:val="both"/>
      </w:pPr>
      <w:r>
        <w:rPr>
          <w:rFonts w:ascii="Arial" w:hAnsi="Arial"/>
          <w:sz w:val="24"/>
        </w:rPr>
        <w:t>Como diagnóstico previo a la mejora, se comprueba que al desconectar el acceso a internet del dispositivo móvil durante las pruebas offline, la aplicación carga la estructura de la interfaz pero despliega errores crudos de JavaScript (como TypeError: Failed to fetch) en lugar del tablero de órdenes de servicio, interrumpiendo el flujo operativo y degradando la experiencia de usuario en campo.</w:t>
      </w:r>
    </w:p>
    <w:p>
      <w:pPr>
        <w:spacing w:line="360" w:lineRule="auto" w:before="0" w:after="120"/>
        <w:ind w:left="0" w:firstLine="0"/>
        <w:jc w:val="both"/>
      </w:pPr>
      <w:r>
        <w:rPr>
          <w:rFonts w:ascii="Arial" w:hAnsi="Arial"/>
          <w:sz w:val="24"/>
        </w:rPr>
        <w:t>Para solucionar este inconveniente, se implementa una rutina de almacenamiento en caché local mediante la API del almacenamiento local (localStorage) del navegador en el componente del panel técnico. Cuando el dispositivo cuenta con conexión a internet, la aplicación realiza la consulta a la base de datos de Supabase y guarda de forma automática una copia estructurada de las órdenes de servicio asignadas en el almacenamiento de memoria local asociada al identificador del usuario.</w:t>
      </w:r>
    </w:p>
    <w:p>
      <w:pPr>
        <w:spacing w:line="360" w:lineRule="auto" w:before="0" w:after="120"/>
        <w:ind w:left="0" w:firstLine="0"/>
        <w:jc w:val="both"/>
      </w:pPr>
      <w:r>
        <w:rPr>
          <w:rFonts w:ascii="Arial" w:hAnsi="Arial"/>
          <w:sz w:val="24"/>
        </w:rPr>
        <w:t>Al interrumpirse la conectividad de red, el sistema intercepta la excepción del fallo de red, recupera los registros previamente guardados en la caché de la memoria local y los renderiza en pantalla para permitir la consulta offline de datos de trabajo. De igual forma, se reemplaza el error crudo del sistema de base de datos por un banner de alerta amigable con colores de advertencia (código de color ámbar) que informa al usuario que se encuentra operando en modo sin conexión con datos locales precargados.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