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</w:pPr>
      <w:r>
        <w:rPr>
          <w:rFonts w:ascii="DWQIAO+ºÚÌå" w:hAnsi="DWQIAO+ºÚÌå" w:cs="DWQIAO+ºÚÌå"/>
          <w:color w:val="4F81BD"/>
          <w:spacing w:val="1"/>
          <w:sz w:val="28"/>
        </w:rPr>
        <w:t>模块</w:t>
      </w:r>
      <w:r>
        <w:rPr>
          <w:rFonts w:ascii="Times New Roman"/>
          <w:color w:val="4F81BD"/>
          <w:spacing w:val="2"/>
          <w:sz w:val="28"/>
        </w:rPr>
        <w:t xml:space="preserve"> </w:t>
      </w:r>
      <w:r>
        <w:rPr>
          <w:rFonts w:ascii="Times New Roman"/>
          <w:color w:val="4F81BD"/>
          <w:spacing w:val="-1"/>
          <w:sz w:val="28"/>
        </w:rPr>
        <w:t>CM</w:t>
      </w:r>
      <w:r>
        <w:rPr>
          <w:rFonts w:hint="eastAsia" w:ascii="Times New Roman" w:eastAsia="宋体"/>
          <w:color w:val="4F81BD"/>
          <w:spacing w:val="-1"/>
          <w:sz w:val="28"/>
          <w:lang w:val="en-US" w:eastAsia="zh-CN"/>
        </w:rPr>
        <w:t>1</w:t>
      </w:r>
      <w:r>
        <w:rPr>
          <w:rFonts w:ascii="DWQIAO+ºÚÌå" w:hAnsi="DWQIAO+ºÚÌå" w:cs="DWQIAO+ºÚÌå"/>
          <w:color w:val="4F81BD"/>
          <w:spacing w:val="1"/>
          <w:sz w:val="28"/>
        </w:rPr>
        <w:t>：</w:t>
      </w:r>
      <w:r>
        <w:rPr>
          <w:rFonts w:hint="eastAsia" w:ascii="DWQIAO+ºÚÌå" w:hAnsi="DWQIAO+ºÚÌå" w:eastAsia="宋体" w:cs="DWQIAO+ºÚÌå"/>
          <w:color w:val="4F81BD"/>
          <w:spacing w:val="1"/>
          <w:sz w:val="28"/>
          <w:lang w:val="en-US" w:eastAsia="zh-CN"/>
        </w:rPr>
        <w:t>商品</w:t>
      </w:r>
      <w: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  <w:t>管理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hint="eastAsia" w:ascii="Times New Roman" w:eastAsia="宋体"/>
          <w:color w:val="000000"/>
          <w:spacing w:val="0"/>
          <w:sz w:val="24"/>
          <w:lang w:eastAsia="zh-CN"/>
        </w:rPr>
      </w:pPr>
      <w:r>
        <w:rPr>
          <w:rFonts w:ascii="DFDVCG+ËÎÌå" w:hAnsi="DFDVCG+ËÎÌå" w:cs="DFDVCG+ËÎÌå"/>
          <w:color w:val="000000"/>
          <w:spacing w:val="2"/>
          <w:sz w:val="24"/>
        </w:rPr>
        <w:t>编号：</w:t>
      </w:r>
      <w:r>
        <w:rPr>
          <w:rFonts w:ascii="Times New Roman"/>
          <w:color w:val="000000"/>
          <w:spacing w:val="0"/>
          <w:sz w:val="24"/>
        </w:rPr>
        <w:t>CM</w:t>
      </w:r>
      <w:r>
        <w:rPr>
          <w:rFonts w:hint="eastAsia" w:ascii="Times New Roman" w:eastAsia="宋体"/>
          <w:color w:val="000000"/>
          <w:spacing w:val="0"/>
          <w:sz w:val="24"/>
          <w:lang w:val="en-US" w:eastAsia="zh-CN"/>
        </w:rPr>
        <w:t>1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模块名称：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val="en-US" w:eastAsia="zh-CN"/>
        </w:rPr>
        <w:t>商品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eastAsia="zh-CN"/>
        </w:rPr>
        <w:t>管理</w:t>
      </w:r>
      <w:r>
        <w:rPr>
          <w:rFonts w:ascii="DFDVCG+ËÎÌå" w:hAnsi="DFDVCG+ËÎÌå" w:cs="DFDVCG+ËÎÌå"/>
          <w:color w:val="000000"/>
          <w:spacing w:val="1"/>
          <w:sz w:val="24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</w:pPr>
      <w:r>
        <w:rPr>
          <w:rFonts w:ascii="DFDVCG+ËÎÌå" w:hAnsi="DFDVCG+ËÎÌå" w:cs="DFDVCG+ËÎÌå"/>
          <w:color w:val="000000"/>
          <w:spacing w:val="-7"/>
          <w:sz w:val="24"/>
        </w:rPr>
        <w:t>功能简介：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本模块为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val="en-US" w:eastAsia="zh-CN"/>
        </w:rPr>
        <w:t>商品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管理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模块。在此模块中，</w:t>
      </w: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val="en-US" w:eastAsia="zh-CN"/>
        </w:rPr>
        <w:t>员工从后台对商品进行管理，上架、修改、下架、查询商品，并可发布商品团购</w:t>
      </w: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输入：鼠标点击事件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/输入文本信息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hint="eastAsia" w:ascii="DFDVCG+ËÎÌå" w:eastAsia="宋体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输出：查询结果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/处理结果</w:t>
      </w:r>
    </w:p>
    <w:p>
      <w:pPr>
        <w:widowControl w:val="0"/>
        <w:autoSpaceDE w:val="0"/>
        <w:autoSpaceDN w:val="0"/>
        <w:adjustRightInd w:val="0"/>
        <w:spacing w:before="118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操作流程：</w:t>
      </w:r>
    </w:p>
    <w:p/>
    <w:p>
      <w:r>
        <w:drawing>
          <wp:inline distT="0" distB="0" distL="114300" distR="114300">
            <wp:extent cx="5273040" cy="376936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数据库逻辑：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商品表独立存在，保存上架商品信息是团购的先始条件，团购表依赖于商品表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团购表保存团购信息，包括有商品信息，团购时间、折扣等一个团购只可以有一个商品，一个商品可发布多次团购，为一对多关系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团购详细表：保存已加入团购人员的信息，代表此用户加入团购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用户表与团购详细表喂多对多关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团购表与团购详细表之间为一对一关系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物理逻辑设计</w:t>
      </w:r>
    </w:p>
    <w:p>
      <w:pPr>
        <w:spacing w:line="360" w:lineRule="auto"/>
        <w:jc w:val="both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商品表</w:t>
      </w:r>
      <w:r>
        <w:rPr>
          <w:rFonts w:hint="eastAsia" w:ascii="宋体" w:hAnsi="宋体"/>
          <w:color w:val="FF0000"/>
          <w:sz w:val="24"/>
        </w:rPr>
        <w:t xml:space="preserve">candy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can_id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int(11) NOT NULL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AUTO_INCREMENT</w:t>
            </w:r>
          </w:p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PRIMARY KEY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主键标识商品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can_brand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can_name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can_type   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can_price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can_inventory   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can_quality_date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can_manufacture_date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商品保质日期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can_photo_localtion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商品图片地址</w:t>
            </w:r>
          </w:p>
        </w:tc>
      </w:tr>
    </w:tbl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团购表</w:t>
      </w:r>
      <w:r>
        <w:rPr>
          <w:rFonts w:hint="eastAsia" w:ascii="宋体" w:hAnsi="宋体"/>
          <w:color w:val="FF0000"/>
          <w:sz w:val="24"/>
          <w:lang w:val="en-US" w:eastAsia="zh-CN"/>
        </w:rPr>
        <w:t>groupbuy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gro_id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NOT NULL AUTO_INCREMENT,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gro_can_id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gro_number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gro_discount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double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gro_starttime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gro_endtime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gro_status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'0',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团购状态：0未发送邮件 1已发送邮件通知用户</w:t>
            </w:r>
          </w:p>
        </w:tc>
      </w:tr>
    </w:tbl>
    <w:p>
      <w:pPr>
        <w:spacing w:line="360" w:lineRule="auto"/>
        <w:ind w:firstLine="420" w:firstLineChars="0"/>
        <w:jc w:val="both"/>
        <w:rPr>
          <w:rFonts w:hint="eastAsia" w:ascii="宋体" w:hAnsi="宋体"/>
          <w:color w:val="FF0000"/>
          <w:sz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宋体" w:hAnsi="宋体"/>
          <w:color w:val="FF0000"/>
          <w:sz w:val="24"/>
          <w:lang w:val="en-US" w:eastAsia="zh-CN"/>
        </w:rPr>
      </w:pPr>
    </w:p>
    <w:p>
      <w:pPr>
        <w:spacing w:line="360" w:lineRule="auto"/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团购详细表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表示第*号用户加入了第*号团购</w:t>
      </w:r>
    </w:p>
    <w:p>
      <w:pPr>
        <w:spacing w:line="360" w:lineRule="auto"/>
        <w:ind w:firstLine="420" w:firstLineChars="0"/>
        <w:jc w:val="both"/>
        <w:rPr>
          <w:rFonts w:hint="default" w:ascii="宋体" w:hAnsi="宋体"/>
          <w:color w:val="FF0000"/>
          <w:sz w:val="24"/>
          <w:lang w:val="en-US" w:eastAsia="zh-CN"/>
        </w:rPr>
      </w:pPr>
      <w:r>
        <w:rPr>
          <w:rFonts w:hint="default" w:ascii="宋体" w:hAnsi="宋体"/>
          <w:color w:val="FF0000"/>
          <w:sz w:val="24"/>
          <w:lang w:val="en-US" w:eastAsia="zh-CN"/>
        </w:rPr>
        <w:t>groupbuyperson</w:t>
      </w:r>
      <w:r>
        <w:rPr>
          <w:rFonts w:hint="eastAsia" w:ascii="宋体" w:hAnsi="宋体"/>
          <w:color w:val="FF0000"/>
          <w:sz w:val="24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ascii="黑体" w:hAnsi="黑体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gpn_gro_id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int(11) 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gpn_use_id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int(11) 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DEFAULT NULL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用户编号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界面设计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商品管理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drawing>
          <wp:inline distT="0" distB="0" distL="114300" distR="114300">
            <wp:extent cx="5272405" cy="28911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团购管理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055" cy="294386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WQIAO+ºÚÌå">
    <w:altName w:val="Segoe Print"/>
    <w:panose1 w:val="02010609060101010101"/>
    <w:charset w:val="01"/>
    <w:family w:val="modern"/>
    <w:pitch w:val="default"/>
    <w:sig w:usb0="00000000" w:usb1="00000000" w:usb2="00000000" w:usb3="00000000" w:csb0="00000000" w:csb1="00000000"/>
  </w:font>
  <w:font w:name="DFDVCG+ËÎÌå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77EEA"/>
    <w:rsid w:val="4052710A"/>
    <w:rsid w:val="58DB6421"/>
    <w:rsid w:val="7EE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2019-06-29T17:53:45Z</dcterms:created>
  <dc:creator>Administrator</dc:creator>
  <cp:lastModifiedBy>何</cp:lastModifiedBy>
  <dcterms:modified xsi:type="dcterms:W3CDTF">2019-06-29T18:24:50Z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