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522F8" w14:textId="77777777" w:rsidR="007E0401" w:rsidRDefault="00000000">
      <w:pPr>
        <w:pStyle w:val="Heading1"/>
        <w:rPr>
          <w:rFonts w:ascii="Georgia" w:hAnsi="Georgia"/>
        </w:rPr>
      </w:pPr>
      <w:bookmarkStart w:id="0" w:name="nintendo-switch-sales-mock-case-study"/>
      <w:r w:rsidRPr="00527854">
        <w:rPr>
          <w:rFonts w:ascii="Georgia" w:hAnsi="Georgia"/>
        </w:rPr>
        <w:t>Nintendo Switch Sales — Mock Case Study</w:t>
      </w:r>
    </w:p>
    <w:p w14:paraId="64B24807" w14:textId="09CBD825" w:rsidR="00C26754" w:rsidRPr="00C26754" w:rsidRDefault="00C26754" w:rsidP="00C26754">
      <w:pPr>
        <w:pStyle w:val="BodyText"/>
        <w:rPr>
          <w:rFonts w:ascii="Georgia" w:hAnsi="Georgia"/>
          <w:b/>
          <w:bCs/>
        </w:rPr>
      </w:pPr>
      <w:r w:rsidRPr="00C26754">
        <w:rPr>
          <w:rFonts w:ascii="Georgia" w:hAnsi="Georgia"/>
          <w:b/>
          <w:bCs/>
        </w:rPr>
        <w:t xml:space="preserve">Done by: Hector Enriquez Orellana  </w:t>
      </w:r>
    </w:p>
    <w:p w14:paraId="429B61AE" w14:textId="77777777" w:rsidR="007E0401" w:rsidRPr="00527854" w:rsidRDefault="00000000">
      <w:pPr>
        <w:pStyle w:val="Heading2"/>
        <w:rPr>
          <w:rFonts w:ascii="Georgia" w:hAnsi="Georgia"/>
        </w:rPr>
      </w:pPr>
      <w:bookmarkStart w:id="1" w:name="section-0-case-study-context"/>
      <w:r w:rsidRPr="00527854">
        <w:rPr>
          <w:rFonts w:ascii="Georgia" w:hAnsi="Georgia"/>
        </w:rPr>
        <w:t>Section 0 — Case Study Context</w:t>
      </w:r>
    </w:p>
    <w:p w14:paraId="5DFF2507" w14:textId="5145C627" w:rsidR="007E0401" w:rsidRPr="00527854" w:rsidRDefault="00000000">
      <w:pPr>
        <w:pStyle w:val="FirstParagraph"/>
        <w:rPr>
          <w:rFonts w:ascii="Georgia" w:hAnsi="Georgia"/>
        </w:rPr>
      </w:pPr>
      <w:r w:rsidRPr="00527854">
        <w:rPr>
          <w:rFonts w:ascii="Georgia" w:hAnsi="Georgia"/>
          <w:b/>
          <w:bCs/>
        </w:rPr>
        <w:t>Case Study: Nintendo Switch Sales Performance Analysis</w:t>
      </w:r>
      <w:r w:rsidR="00527854">
        <w:rPr>
          <w:rFonts w:ascii="Georgia" w:hAnsi="Georgia"/>
          <w:b/>
          <w:bCs/>
        </w:rPr>
        <w:br/>
      </w:r>
      <w:r w:rsidRPr="00527854">
        <w:rPr>
          <w:rFonts w:ascii="Georgia" w:hAnsi="Georgia"/>
        </w:rPr>
        <w:br/>
      </w:r>
      <w:r w:rsidRPr="00527854">
        <w:rPr>
          <w:rFonts w:ascii="Georgia" w:hAnsi="Georgia"/>
          <w:b/>
          <w:bCs/>
        </w:rPr>
        <w:t>Background:</w:t>
      </w:r>
      <w:r w:rsidRPr="00527854">
        <w:rPr>
          <w:rFonts w:ascii="Georgia" w:hAnsi="Georgia"/>
        </w:rPr>
        <w:t xml:space="preserve"> Nintendo wants to evaluate the overall performance of the Nintendo Switch console since its launch in 2017. As one of the company’s most successful products, leadership wants to understand how the Switch has performed across its lifecycle to identify indicators of success and areas of weakness. The executive team is interested in a clear, data-driven retrospective that highlights sales performance trends, peak periods, regional contributions, and long-term sustainability. These insights will help Nintendo assess the effectiveness of its sales and marketing strategies over the past years and benchmark future product expectations.</w:t>
      </w:r>
    </w:p>
    <w:p w14:paraId="77346F8E" w14:textId="77777777" w:rsidR="00A00227" w:rsidRDefault="00527854">
      <w:pPr>
        <w:pStyle w:val="BodyText"/>
        <w:rPr>
          <w:rFonts w:ascii="Georgia" w:hAnsi="Georgia"/>
        </w:rPr>
      </w:pPr>
      <w:r>
        <w:rPr>
          <w:rFonts w:ascii="Georgia" w:hAnsi="Georgia"/>
        </w:rPr>
        <w:t>P</w:t>
      </w:r>
      <w:r w:rsidRPr="00527854">
        <w:rPr>
          <w:rFonts w:ascii="Georgia" w:hAnsi="Georgia"/>
        </w:rPr>
        <w:t>repar</w:t>
      </w:r>
      <w:r>
        <w:rPr>
          <w:rFonts w:ascii="Georgia" w:hAnsi="Georgia"/>
        </w:rPr>
        <w:t>e</w:t>
      </w:r>
      <w:r w:rsidRPr="00527854">
        <w:rPr>
          <w:rFonts w:ascii="Georgia" w:hAnsi="Georgia"/>
        </w:rPr>
        <w:t xml:space="preserve"> a sales performance report </w:t>
      </w:r>
      <w:r>
        <w:rPr>
          <w:rFonts w:ascii="Georgia" w:hAnsi="Georgia"/>
        </w:rPr>
        <w:t>in</w:t>
      </w:r>
      <w:r w:rsidRPr="00527854">
        <w:rPr>
          <w:rFonts w:ascii="Georgia" w:hAnsi="Georgia"/>
        </w:rPr>
        <w:t xml:space="preserve"> Tableau dashboard that will: </w:t>
      </w:r>
    </w:p>
    <w:p w14:paraId="2A3BE0AB" w14:textId="77777777" w:rsidR="00A00227" w:rsidRDefault="00000000">
      <w:pPr>
        <w:pStyle w:val="BodyText"/>
        <w:rPr>
          <w:rFonts w:ascii="Georgia" w:hAnsi="Georgia"/>
        </w:rPr>
      </w:pPr>
      <w:r w:rsidRPr="00527854">
        <w:rPr>
          <w:rFonts w:ascii="Georgia" w:hAnsi="Georgia"/>
        </w:rPr>
        <w:t xml:space="preserve">- Summarize overall sales performance of the Nintendo Switch from launch through the most recent quarter. </w:t>
      </w:r>
    </w:p>
    <w:p w14:paraId="328E97B6" w14:textId="77777777" w:rsidR="00A00227" w:rsidRDefault="00000000">
      <w:pPr>
        <w:pStyle w:val="BodyText"/>
        <w:rPr>
          <w:rFonts w:ascii="Georgia" w:hAnsi="Georgia"/>
        </w:rPr>
      </w:pPr>
      <w:r w:rsidRPr="00527854">
        <w:rPr>
          <w:rFonts w:ascii="Georgia" w:hAnsi="Georgia"/>
        </w:rPr>
        <w:t xml:space="preserve">- Highlight peak sales periods (by quarter and year) to evaluate repeat seasonal strength. </w:t>
      </w:r>
    </w:p>
    <w:p w14:paraId="0A7B80F6" w14:textId="77777777" w:rsidR="00A00227" w:rsidRDefault="00000000">
      <w:pPr>
        <w:pStyle w:val="BodyText"/>
        <w:rPr>
          <w:rFonts w:ascii="Georgia" w:hAnsi="Georgia"/>
        </w:rPr>
      </w:pPr>
      <w:r w:rsidRPr="00527854">
        <w:rPr>
          <w:rFonts w:ascii="Georgia" w:hAnsi="Georgia"/>
        </w:rPr>
        <w:t xml:space="preserve">- Analyze lifetime sales milestones and cumulative growth to show scale of adoption. </w:t>
      </w:r>
    </w:p>
    <w:p w14:paraId="3EC9CE5E" w14:textId="77777777" w:rsidR="00A00227" w:rsidRDefault="00000000">
      <w:pPr>
        <w:pStyle w:val="BodyText"/>
        <w:rPr>
          <w:rFonts w:ascii="Georgia" w:hAnsi="Georgia"/>
        </w:rPr>
      </w:pPr>
      <w:r w:rsidRPr="00527854">
        <w:rPr>
          <w:rFonts w:ascii="Georgia" w:hAnsi="Georgia"/>
        </w:rPr>
        <w:t xml:space="preserve">- Break down regional performance to identify strongest and weakest markets. </w:t>
      </w:r>
    </w:p>
    <w:p w14:paraId="203C6F10" w14:textId="3F0F089A" w:rsidR="007E0401" w:rsidRPr="00527854" w:rsidRDefault="00000000">
      <w:pPr>
        <w:pStyle w:val="BodyText"/>
        <w:rPr>
          <w:rFonts w:ascii="Georgia" w:hAnsi="Georgia"/>
        </w:rPr>
      </w:pPr>
      <w:r w:rsidRPr="00527854">
        <w:rPr>
          <w:rFonts w:ascii="Georgia" w:hAnsi="Georgia"/>
        </w:rPr>
        <w:t>- Measure growth sustainability by examining quarter-over-quarter (QoQ) and year-over-year (YoY) trends.</w:t>
      </w:r>
    </w:p>
    <w:p w14:paraId="0C0C14AA" w14:textId="77777777" w:rsidR="00527854" w:rsidRDefault="00000000">
      <w:pPr>
        <w:pStyle w:val="BodyText"/>
        <w:rPr>
          <w:rFonts w:ascii="Georgia" w:hAnsi="Georgia"/>
        </w:rPr>
      </w:pPr>
      <w:r w:rsidRPr="00527854">
        <w:rPr>
          <w:rFonts w:ascii="Georgia" w:hAnsi="Georgia"/>
          <w:b/>
          <w:bCs/>
        </w:rPr>
        <w:t>Key Questions to Answer:</w:t>
      </w:r>
      <w:r w:rsidRPr="00527854">
        <w:rPr>
          <w:rFonts w:ascii="Georgia" w:hAnsi="Georgia"/>
        </w:rPr>
        <w:t xml:space="preserve"> </w:t>
      </w:r>
    </w:p>
    <w:p w14:paraId="70910911" w14:textId="77777777" w:rsidR="00527854" w:rsidRDefault="00000000">
      <w:pPr>
        <w:pStyle w:val="BodyText"/>
        <w:rPr>
          <w:rFonts w:ascii="Georgia" w:hAnsi="Georgia"/>
        </w:rPr>
      </w:pPr>
      <w:r w:rsidRPr="00527854">
        <w:rPr>
          <w:rFonts w:ascii="Georgia" w:hAnsi="Georgia"/>
        </w:rPr>
        <w:t xml:space="preserve">1. What was the overall sales trajectory of the Nintendo Switch from launch to the most recent quarter? </w:t>
      </w:r>
    </w:p>
    <w:p w14:paraId="6A565042" w14:textId="77777777" w:rsidR="00527854" w:rsidRDefault="00000000">
      <w:pPr>
        <w:pStyle w:val="BodyText"/>
        <w:rPr>
          <w:rFonts w:ascii="Georgia" w:hAnsi="Georgia"/>
        </w:rPr>
      </w:pPr>
      <w:r w:rsidRPr="00527854">
        <w:rPr>
          <w:rFonts w:ascii="Georgia" w:hAnsi="Georgia"/>
        </w:rPr>
        <w:t xml:space="preserve">2. Which quarters or years represented peak sales, and how consistent were those peaks? </w:t>
      </w:r>
    </w:p>
    <w:p w14:paraId="3F537769" w14:textId="77777777" w:rsidR="00527854" w:rsidRDefault="00000000">
      <w:pPr>
        <w:pStyle w:val="BodyText"/>
        <w:rPr>
          <w:rFonts w:ascii="Georgia" w:hAnsi="Georgia"/>
        </w:rPr>
      </w:pPr>
      <w:r w:rsidRPr="00527854">
        <w:rPr>
          <w:rFonts w:ascii="Georgia" w:hAnsi="Georgia"/>
        </w:rPr>
        <w:t xml:space="preserve">3. How much did the Switch sell in total (lifetime sales), and what milestones were achieved? </w:t>
      </w:r>
    </w:p>
    <w:p w14:paraId="50502529" w14:textId="77777777" w:rsidR="00527854" w:rsidRDefault="00000000">
      <w:pPr>
        <w:pStyle w:val="BodyText"/>
        <w:rPr>
          <w:rFonts w:ascii="Georgia" w:hAnsi="Georgia"/>
        </w:rPr>
      </w:pPr>
      <w:r w:rsidRPr="00527854">
        <w:rPr>
          <w:rFonts w:ascii="Georgia" w:hAnsi="Georgia"/>
        </w:rPr>
        <w:t xml:space="preserve">4. How balanced was performance across regions (Americas, Europe, Japan, Other)? </w:t>
      </w:r>
    </w:p>
    <w:p w14:paraId="497D7368" w14:textId="0018BE7B" w:rsidR="007E0401" w:rsidRPr="00527854" w:rsidRDefault="00000000">
      <w:pPr>
        <w:pStyle w:val="BodyText"/>
        <w:rPr>
          <w:rFonts w:ascii="Georgia" w:hAnsi="Georgia"/>
        </w:rPr>
      </w:pPr>
      <w:r w:rsidRPr="00527854">
        <w:rPr>
          <w:rFonts w:ascii="Georgia" w:hAnsi="Georgia"/>
        </w:rPr>
        <w:t>5. Did the Switch maintain growth beyond launch years, or did sales slow sharply after initial hype?</w:t>
      </w:r>
    </w:p>
    <w:p w14:paraId="6CC13844" w14:textId="77777777" w:rsidR="007E0401" w:rsidRPr="00527854" w:rsidRDefault="00000000">
      <w:pPr>
        <w:rPr>
          <w:rFonts w:ascii="Georgia" w:hAnsi="Georgia"/>
        </w:rPr>
      </w:pPr>
      <w:r>
        <w:rPr>
          <w:rFonts w:ascii="Georgia" w:hAnsi="Georgia"/>
        </w:rPr>
        <w:pict w14:anchorId="2BC488C8">
          <v:rect id="_x0000_i1057" style="width:0;height:1.5pt" o:hralign="center" o:hrstd="t" o:hr="t"/>
        </w:pict>
      </w:r>
    </w:p>
    <w:p w14:paraId="4B988097" w14:textId="6B95939E" w:rsidR="007E0401" w:rsidRPr="00527854" w:rsidRDefault="00000000">
      <w:pPr>
        <w:pStyle w:val="Heading2"/>
        <w:rPr>
          <w:rFonts w:ascii="Georgia" w:hAnsi="Georgia"/>
        </w:rPr>
      </w:pPr>
      <w:bookmarkStart w:id="2" w:name="section-i-executive-summary"/>
      <w:bookmarkEnd w:id="1"/>
      <w:r w:rsidRPr="00527854">
        <w:rPr>
          <w:rFonts w:ascii="Georgia" w:hAnsi="Georgia"/>
        </w:rPr>
        <w:lastRenderedPageBreak/>
        <w:t>Section I — Executive Summary</w:t>
      </w:r>
    </w:p>
    <w:p w14:paraId="3489EC4F" w14:textId="77777777" w:rsidR="007E0401" w:rsidRPr="00527854" w:rsidRDefault="00000000">
      <w:pPr>
        <w:pStyle w:val="FirstParagraph"/>
        <w:rPr>
          <w:rFonts w:ascii="Georgia" w:hAnsi="Georgia"/>
        </w:rPr>
      </w:pPr>
      <w:r w:rsidRPr="00527854">
        <w:rPr>
          <w:rFonts w:ascii="Georgia" w:hAnsi="Georgia"/>
          <w:b/>
          <w:bCs/>
        </w:rPr>
        <w:t>Answers to the key questions using the final dashboard as reference</w:t>
      </w:r>
    </w:p>
    <w:p w14:paraId="2A3B692B" w14:textId="77777777" w:rsidR="007E0401" w:rsidRPr="00527854" w:rsidRDefault="00000000">
      <w:pPr>
        <w:numPr>
          <w:ilvl w:val="0"/>
          <w:numId w:val="2"/>
        </w:numPr>
        <w:rPr>
          <w:rFonts w:ascii="Georgia" w:hAnsi="Georgia"/>
        </w:rPr>
      </w:pPr>
      <w:r w:rsidRPr="00527854">
        <w:rPr>
          <w:rFonts w:ascii="Georgia" w:hAnsi="Georgia"/>
          <w:b/>
          <w:bCs/>
        </w:rPr>
        <w:t xml:space="preserve">Overall sales trajectory (2017 </w:t>
      </w:r>
      <w:r w:rsidRPr="00527854">
        <w:rPr>
          <w:rFonts w:ascii="Times New Roman" w:hAnsi="Times New Roman" w:cs="Times New Roman"/>
          <w:b/>
          <w:bCs/>
        </w:rPr>
        <w:t>→</w:t>
      </w:r>
      <w:r w:rsidRPr="00527854">
        <w:rPr>
          <w:rFonts w:ascii="Georgia" w:hAnsi="Georgia"/>
          <w:b/>
          <w:bCs/>
        </w:rPr>
        <w:t xml:space="preserve"> latest quarter)</w:t>
      </w:r>
      <w:r w:rsidRPr="00527854">
        <w:rPr>
          <w:rFonts w:ascii="Georgia" w:hAnsi="Georgia"/>
        </w:rPr>
        <w:br/>
        <w:t xml:space="preserve">Cumulative sales rose rapidly from launch through </w:t>
      </w:r>
      <w:r w:rsidRPr="00527854">
        <w:rPr>
          <w:rFonts w:ascii="Georgia" w:hAnsi="Georgia"/>
          <w:b/>
          <w:bCs/>
        </w:rPr>
        <w:t>2020</w:t>
      </w:r>
      <w:r w:rsidRPr="00527854">
        <w:rPr>
          <w:rFonts w:ascii="Georgia" w:hAnsi="Georgia"/>
        </w:rPr>
        <w:t xml:space="preserve">, with clear </w:t>
      </w:r>
      <w:proofErr w:type="gramStart"/>
      <w:r w:rsidRPr="00527854">
        <w:rPr>
          <w:rFonts w:ascii="Georgia" w:hAnsi="Georgia"/>
        </w:rPr>
        <w:t>step</w:t>
      </w:r>
      <w:r w:rsidRPr="00527854">
        <w:rPr>
          <w:rFonts w:ascii="Cambria Math" w:hAnsi="Cambria Math" w:cs="Cambria Math"/>
        </w:rPr>
        <w:t>‑</w:t>
      </w:r>
      <w:r w:rsidRPr="00527854">
        <w:rPr>
          <w:rFonts w:ascii="Georgia" w:hAnsi="Georgia"/>
        </w:rPr>
        <w:t>ups</w:t>
      </w:r>
      <w:proofErr w:type="gramEnd"/>
      <w:r w:rsidRPr="00527854">
        <w:rPr>
          <w:rFonts w:ascii="Georgia" w:hAnsi="Georgia"/>
        </w:rPr>
        <w:t xml:space="preserve"> during holiday seasons. From </w:t>
      </w:r>
      <w:r w:rsidRPr="00527854">
        <w:rPr>
          <w:rFonts w:ascii="Georgia" w:hAnsi="Georgia"/>
          <w:b/>
          <w:bCs/>
        </w:rPr>
        <w:t>2021–2023</w:t>
      </w:r>
      <w:r w:rsidRPr="00527854">
        <w:rPr>
          <w:rFonts w:ascii="Georgia" w:hAnsi="Georgia"/>
        </w:rPr>
        <w:t xml:space="preserve"> growth normalized (late</w:t>
      </w:r>
      <w:r w:rsidRPr="00527854">
        <w:rPr>
          <w:rFonts w:ascii="Cambria Math" w:hAnsi="Cambria Math" w:cs="Cambria Math"/>
        </w:rPr>
        <w:t>‑</w:t>
      </w:r>
      <w:r w:rsidRPr="00527854">
        <w:rPr>
          <w:rFonts w:ascii="Georgia" w:hAnsi="Georgia"/>
        </w:rPr>
        <w:t xml:space="preserve">cycle), but the console continued to add units each quarter. In </w:t>
      </w:r>
      <w:r w:rsidRPr="00527854">
        <w:rPr>
          <w:rFonts w:ascii="Georgia" w:hAnsi="Georgia"/>
          <w:b/>
          <w:bCs/>
        </w:rPr>
        <w:t>2024</w:t>
      </w:r>
      <w:r w:rsidRPr="00527854">
        <w:rPr>
          <w:rFonts w:ascii="Georgia" w:hAnsi="Georgia"/>
        </w:rPr>
        <w:t xml:space="preserve">, YoY improved vs. 2023 (per the </w:t>
      </w:r>
      <w:r w:rsidRPr="00527854">
        <w:rPr>
          <w:rFonts w:ascii="Georgia" w:hAnsi="Georgia"/>
          <w:i/>
          <w:iCs/>
        </w:rPr>
        <w:t>Yearly Sales Growth Rate</w:t>
      </w:r>
      <w:r w:rsidRPr="00527854">
        <w:rPr>
          <w:rFonts w:ascii="Georgia" w:hAnsi="Georgia"/>
        </w:rPr>
        <w:t xml:space="preserve"> KPI table), indicating a modest rebound. The cumulative curve remains upward</w:t>
      </w:r>
      <w:r w:rsidRPr="00527854">
        <w:rPr>
          <w:rFonts w:ascii="Cambria Math" w:hAnsi="Cambria Math" w:cs="Cambria Math"/>
        </w:rPr>
        <w:t>‑</w:t>
      </w:r>
      <w:r w:rsidRPr="00527854">
        <w:rPr>
          <w:rFonts w:ascii="Georgia" w:hAnsi="Georgia"/>
        </w:rPr>
        <w:t>sloping throughout the period.</w:t>
      </w:r>
    </w:p>
    <w:p w14:paraId="443E61A0" w14:textId="77777777" w:rsidR="007E0401" w:rsidRPr="00527854" w:rsidRDefault="00000000">
      <w:pPr>
        <w:numPr>
          <w:ilvl w:val="0"/>
          <w:numId w:val="2"/>
        </w:numPr>
        <w:rPr>
          <w:rFonts w:ascii="Georgia" w:hAnsi="Georgia"/>
        </w:rPr>
      </w:pPr>
      <w:r w:rsidRPr="00527854">
        <w:rPr>
          <w:rFonts w:ascii="Georgia" w:hAnsi="Georgia"/>
          <w:b/>
          <w:bCs/>
        </w:rPr>
        <w:t>Peak periods (quarters and years)</w:t>
      </w:r>
      <w:r w:rsidRPr="00527854">
        <w:rPr>
          <w:rFonts w:ascii="Georgia" w:hAnsi="Georgia"/>
        </w:rPr>
        <w:br/>
        <w:t xml:space="preserve">Holiday </w:t>
      </w:r>
      <w:r w:rsidRPr="00527854">
        <w:rPr>
          <w:rFonts w:ascii="Georgia" w:hAnsi="Georgia"/>
          <w:b/>
          <w:bCs/>
        </w:rPr>
        <w:t>Q4</w:t>
      </w:r>
      <w:r w:rsidRPr="00527854">
        <w:rPr>
          <w:rFonts w:ascii="Georgia" w:hAnsi="Georgia"/>
        </w:rPr>
        <w:t xml:space="preserve"> quarters consistently outperform. The </w:t>
      </w:r>
      <w:r w:rsidRPr="00527854">
        <w:rPr>
          <w:rFonts w:ascii="Georgia" w:hAnsi="Georgia"/>
          <w:i/>
          <w:iCs/>
        </w:rPr>
        <w:t>Best Performing Quarters</w:t>
      </w:r>
      <w:r w:rsidRPr="00527854">
        <w:rPr>
          <w:rFonts w:ascii="Georgia" w:hAnsi="Georgia"/>
        </w:rPr>
        <w:t xml:space="preserve"> </w:t>
      </w:r>
      <w:proofErr w:type="gramStart"/>
      <w:r w:rsidRPr="00527854">
        <w:rPr>
          <w:rFonts w:ascii="Georgia" w:hAnsi="Georgia"/>
        </w:rPr>
        <w:t>view highlights</w:t>
      </w:r>
      <w:proofErr w:type="gramEnd"/>
      <w:r w:rsidRPr="00527854">
        <w:rPr>
          <w:rFonts w:ascii="Georgia" w:hAnsi="Georgia"/>
        </w:rPr>
        <w:t xml:space="preserve"> </w:t>
      </w:r>
      <w:r w:rsidRPr="00527854">
        <w:rPr>
          <w:rFonts w:ascii="Georgia" w:hAnsi="Georgia"/>
          <w:b/>
          <w:bCs/>
        </w:rPr>
        <w:t>2020 Q4</w:t>
      </w:r>
      <w:r w:rsidRPr="00527854">
        <w:rPr>
          <w:rFonts w:ascii="Georgia" w:hAnsi="Georgia"/>
        </w:rPr>
        <w:t xml:space="preserve"> as the top quarter, with other strong showings in prior/</w:t>
      </w:r>
      <w:proofErr w:type="spellStart"/>
      <w:r w:rsidRPr="00527854">
        <w:rPr>
          <w:rFonts w:ascii="Georgia" w:hAnsi="Georgia"/>
        </w:rPr>
        <w:t>post holiday</w:t>
      </w:r>
      <w:proofErr w:type="spellEnd"/>
      <w:r w:rsidRPr="00527854">
        <w:rPr>
          <w:rFonts w:ascii="Georgia" w:hAnsi="Georgia"/>
        </w:rPr>
        <w:t xml:space="preserve"> quarters (e.g., </w:t>
      </w:r>
      <w:r w:rsidRPr="00527854">
        <w:rPr>
          <w:rFonts w:ascii="Georgia" w:hAnsi="Georgia"/>
          <w:b/>
          <w:bCs/>
        </w:rPr>
        <w:t>2019 Q4</w:t>
      </w:r>
      <w:r w:rsidRPr="00527854">
        <w:rPr>
          <w:rFonts w:ascii="Georgia" w:hAnsi="Georgia"/>
        </w:rPr>
        <w:t xml:space="preserve">, </w:t>
      </w:r>
      <w:r w:rsidRPr="00527854">
        <w:rPr>
          <w:rFonts w:ascii="Georgia" w:hAnsi="Georgia"/>
          <w:b/>
          <w:bCs/>
        </w:rPr>
        <w:t>2021 Q4</w:t>
      </w:r>
      <w:r w:rsidRPr="00527854">
        <w:rPr>
          <w:rFonts w:ascii="Georgia" w:hAnsi="Georgia"/>
        </w:rPr>
        <w:t xml:space="preserve">). At the yearly level, </w:t>
      </w:r>
      <w:r w:rsidRPr="00527854">
        <w:rPr>
          <w:rFonts w:ascii="Georgia" w:hAnsi="Georgia"/>
          <w:b/>
          <w:bCs/>
        </w:rPr>
        <w:t>2020</w:t>
      </w:r>
      <w:r w:rsidRPr="00527854">
        <w:rPr>
          <w:rFonts w:ascii="Georgia" w:hAnsi="Georgia"/>
        </w:rPr>
        <w:t xml:space="preserve"> is the peak year in the </w:t>
      </w:r>
      <w:r w:rsidRPr="00527854">
        <w:rPr>
          <w:rFonts w:ascii="Georgia" w:hAnsi="Georgia"/>
          <w:i/>
          <w:iCs/>
        </w:rPr>
        <w:t>Peak Performance Years</w:t>
      </w:r>
      <w:r w:rsidRPr="00527854">
        <w:rPr>
          <w:rFonts w:ascii="Georgia" w:hAnsi="Georgia"/>
        </w:rPr>
        <w:t xml:space="preserve"> chart.</w:t>
      </w:r>
    </w:p>
    <w:p w14:paraId="28340A26" w14:textId="77777777" w:rsidR="007E0401" w:rsidRPr="00527854" w:rsidRDefault="00000000">
      <w:pPr>
        <w:numPr>
          <w:ilvl w:val="0"/>
          <w:numId w:val="2"/>
        </w:numPr>
        <w:rPr>
          <w:rFonts w:ascii="Georgia" w:hAnsi="Georgia"/>
        </w:rPr>
      </w:pPr>
      <w:r w:rsidRPr="00527854">
        <w:rPr>
          <w:rFonts w:ascii="Georgia" w:hAnsi="Georgia"/>
          <w:b/>
          <w:bCs/>
        </w:rPr>
        <w:t>Lifetime sales &amp; milestones</w:t>
      </w:r>
      <w:r w:rsidRPr="00527854">
        <w:rPr>
          <w:rFonts w:ascii="Georgia" w:hAnsi="Georgia"/>
        </w:rPr>
        <w:br/>
        <w:t xml:space="preserve">The dashboard’s </w:t>
      </w:r>
      <w:r w:rsidRPr="00527854">
        <w:rPr>
          <w:rFonts w:ascii="Georgia" w:hAnsi="Georgia"/>
          <w:i/>
          <w:iCs/>
        </w:rPr>
        <w:t>Cumulative Sales (M)</w:t>
      </w:r>
      <w:r w:rsidRPr="00527854">
        <w:rPr>
          <w:rFonts w:ascii="Georgia" w:hAnsi="Georgia"/>
        </w:rPr>
        <w:t xml:space="preserve"> KPI shows a lifetime total of </w:t>
      </w:r>
      <w:r w:rsidRPr="00527854">
        <w:rPr>
          <w:rFonts w:ascii="Georgia" w:hAnsi="Georgia"/>
          <w:b/>
          <w:bCs/>
        </w:rPr>
        <w:t>150.87M</w:t>
      </w:r>
      <w:r w:rsidRPr="00527854">
        <w:rPr>
          <w:rFonts w:ascii="Georgia" w:hAnsi="Georgia"/>
        </w:rPr>
        <w:t xml:space="preserve"> units. The </w:t>
      </w:r>
      <w:r w:rsidRPr="00527854">
        <w:rPr>
          <w:rFonts w:ascii="Georgia" w:hAnsi="Georgia"/>
          <w:i/>
          <w:iCs/>
        </w:rPr>
        <w:t>Cumulative Sales by Year &amp; Quarter</w:t>
      </w:r>
      <w:r w:rsidRPr="00527854">
        <w:rPr>
          <w:rFonts w:ascii="Georgia" w:hAnsi="Georgia"/>
        </w:rPr>
        <w:t xml:space="preserve"> line indicates milestone crossings at </w:t>
      </w:r>
      <w:r w:rsidRPr="00527854">
        <w:rPr>
          <w:rFonts w:ascii="Georgia" w:hAnsi="Georgia"/>
          <w:b/>
          <w:bCs/>
        </w:rPr>
        <w:t>50M</w:t>
      </w:r>
      <w:r w:rsidRPr="00527854">
        <w:rPr>
          <w:rFonts w:ascii="Georgia" w:hAnsi="Georgia"/>
        </w:rPr>
        <w:t xml:space="preserve">, </w:t>
      </w:r>
      <w:r w:rsidRPr="00527854">
        <w:rPr>
          <w:rFonts w:ascii="Georgia" w:hAnsi="Georgia"/>
          <w:b/>
          <w:bCs/>
        </w:rPr>
        <w:t>100M</w:t>
      </w:r>
      <w:r w:rsidRPr="00527854">
        <w:rPr>
          <w:rFonts w:ascii="Georgia" w:hAnsi="Georgia"/>
        </w:rPr>
        <w:t xml:space="preserve">, and </w:t>
      </w:r>
      <w:r w:rsidRPr="00527854">
        <w:rPr>
          <w:rFonts w:ascii="Georgia" w:hAnsi="Georgia"/>
          <w:b/>
          <w:bCs/>
        </w:rPr>
        <w:t>150M</w:t>
      </w:r>
      <w:r w:rsidRPr="00527854">
        <w:rPr>
          <w:rFonts w:ascii="Georgia" w:hAnsi="Georgia"/>
        </w:rPr>
        <w:t xml:space="preserve"> (annotated on the chart). The latest quarter added </w:t>
      </w:r>
      <w:r w:rsidRPr="00527854">
        <w:rPr>
          <w:rFonts w:ascii="Georgia" w:hAnsi="Georgia"/>
          <w:b/>
          <w:bCs/>
        </w:rPr>
        <w:t>~2.74M</w:t>
      </w:r>
      <w:r w:rsidRPr="00527854">
        <w:rPr>
          <w:rFonts w:ascii="Georgia" w:hAnsi="Georgia"/>
        </w:rPr>
        <w:t xml:space="preserve"> units (as displayed alongside the cumulative KPI), pushing the total to the current 150.87M.</w:t>
      </w:r>
    </w:p>
    <w:p w14:paraId="6F76112B" w14:textId="77777777" w:rsidR="007E0401" w:rsidRPr="00527854" w:rsidRDefault="00000000">
      <w:pPr>
        <w:numPr>
          <w:ilvl w:val="0"/>
          <w:numId w:val="2"/>
        </w:numPr>
        <w:rPr>
          <w:rFonts w:ascii="Georgia" w:hAnsi="Georgia"/>
        </w:rPr>
      </w:pPr>
      <w:r w:rsidRPr="00527854">
        <w:rPr>
          <w:rFonts w:ascii="Georgia" w:hAnsi="Georgia"/>
          <w:b/>
          <w:bCs/>
        </w:rPr>
        <w:t>Regional balance (Americas, Europe, Japan, Other)</w:t>
      </w:r>
      <w:r w:rsidRPr="00527854">
        <w:rPr>
          <w:rFonts w:ascii="Georgia" w:hAnsi="Georgia"/>
        </w:rPr>
        <w:br/>
        <w:t xml:space="preserve">The </w:t>
      </w:r>
      <w:r w:rsidRPr="00527854">
        <w:rPr>
          <w:rFonts w:ascii="Georgia" w:hAnsi="Georgia"/>
          <w:i/>
          <w:iCs/>
        </w:rPr>
        <w:t>Regional Sales by Region (TOTAL SALES)</w:t>
      </w:r>
      <w:r w:rsidRPr="00527854">
        <w:rPr>
          <w:rFonts w:ascii="Georgia" w:hAnsi="Georgia"/>
        </w:rPr>
        <w:t xml:space="preserve"> chart shows contributions of </w:t>
      </w:r>
      <w:r w:rsidRPr="00527854">
        <w:rPr>
          <w:rFonts w:ascii="Georgia" w:hAnsi="Georgia"/>
          <w:b/>
          <w:bCs/>
        </w:rPr>
        <w:t>Americas 38.32%</w:t>
      </w:r>
      <w:r w:rsidRPr="00527854">
        <w:rPr>
          <w:rFonts w:ascii="Georgia" w:hAnsi="Georgia"/>
        </w:rPr>
        <w:t xml:space="preserve">, </w:t>
      </w:r>
      <w:r w:rsidRPr="00527854">
        <w:rPr>
          <w:rFonts w:ascii="Georgia" w:hAnsi="Georgia"/>
          <w:b/>
          <w:bCs/>
        </w:rPr>
        <w:t>Europe 26.99%</w:t>
      </w:r>
      <w:r w:rsidRPr="00527854">
        <w:rPr>
          <w:rFonts w:ascii="Georgia" w:hAnsi="Georgia"/>
        </w:rPr>
        <w:t xml:space="preserve">, </w:t>
      </w:r>
      <w:r w:rsidRPr="00527854">
        <w:rPr>
          <w:rFonts w:ascii="Georgia" w:hAnsi="Georgia"/>
          <w:b/>
          <w:bCs/>
        </w:rPr>
        <w:t>Japan 24.41%</w:t>
      </w:r>
      <w:r w:rsidRPr="00527854">
        <w:rPr>
          <w:rFonts w:ascii="Georgia" w:hAnsi="Georgia"/>
        </w:rPr>
        <w:t xml:space="preserve">, </w:t>
      </w:r>
      <w:r w:rsidRPr="00527854">
        <w:rPr>
          <w:rFonts w:ascii="Georgia" w:hAnsi="Georgia"/>
          <w:b/>
          <w:bCs/>
        </w:rPr>
        <w:t>Other 10.26%</w:t>
      </w:r>
      <w:r w:rsidRPr="00527854">
        <w:rPr>
          <w:rFonts w:ascii="Georgia" w:hAnsi="Georgia"/>
        </w:rPr>
        <w:t xml:space="preserve">. The Americas are the top region by sales, as summarized in the KPI </w:t>
      </w:r>
      <w:proofErr w:type="gramStart"/>
      <w:r w:rsidRPr="00527854">
        <w:rPr>
          <w:rFonts w:ascii="Georgia" w:hAnsi="Georgia"/>
        </w:rPr>
        <w:t>tile</w:t>
      </w:r>
      <w:proofErr w:type="gramEnd"/>
      <w:r w:rsidRPr="00527854">
        <w:rPr>
          <w:rFonts w:ascii="Georgia" w:hAnsi="Georgia"/>
        </w:rPr>
        <w:t>.</w:t>
      </w:r>
    </w:p>
    <w:p w14:paraId="1F7D95C2" w14:textId="3AB8FB25" w:rsidR="007E0401" w:rsidRPr="00527854" w:rsidRDefault="00000000">
      <w:pPr>
        <w:numPr>
          <w:ilvl w:val="0"/>
          <w:numId w:val="2"/>
        </w:numPr>
        <w:rPr>
          <w:rFonts w:ascii="Georgia" w:hAnsi="Georgia"/>
        </w:rPr>
      </w:pPr>
      <w:r w:rsidRPr="00527854">
        <w:rPr>
          <w:rFonts w:ascii="Georgia" w:hAnsi="Georgia"/>
          <w:b/>
          <w:bCs/>
        </w:rPr>
        <w:t>Sustainability beyond launch years</w:t>
      </w:r>
      <w:r w:rsidRPr="00527854">
        <w:rPr>
          <w:rFonts w:ascii="Georgia" w:hAnsi="Georgia"/>
        </w:rPr>
        <w:br/>
        <w:t xml:space="preserve">Momentum was strongest through 2020. From </w:t>
      </w:r>
      <w:r w:rsidRPr="00527854">
        <w:rPr>
          <w:rFonts w:ascii="Georgia" w:hAnsi="Georgia"/>
          <w:b/>
          <w:bCs/>
        </w:rPr>
        <w:t>2021–2023</w:t>
      </w:r>
      <w:r w:rsidRPr="00527854">
        <w:rPr>
          <w:rFonts w:ascii="Georgia" w:hAnsi="Georgia"/>
        </w:rPr>
        <w:t xml:space="preserve"> the console transitioned into a mature phase with slower quarters; however, sales remained positive and continued to accumulate. </w:t>
      </w:r>
      <w:r w:rsidRPr="00527854">
        <w:rPr>
          <w:rFonts w:ascii="Georgia" w:hAnsi="Georgia"/>
          <w:b/>
          <w:bCs/>
        </w:rPr>
        <w:t>2024</w:t>
      </w:r>
      <w:r w:rsidRPr="00527854">
        <w:rPr>
          <w:rFonts w:ascii="Georgia" w:hAnsi="Georgia"/>
        </w:rPr>
        <w:t xml:space="preserve"> shows YoY recovery against 2023 in </w:t>
      </w:r>
      <w:r w:rsidR="008831DF">
        <w:rPr>
          <w:rFonts w:ascii="Georgia" w:hAnsi="Georgia"/>
        </w:rPr>
        <w:t>t</w:t>
      </w:r>
      <w:r w:rsidR="008831DF" w:rsidRPr="00527854">
        <w:rPr>
          <w:rFonts w:ascii="Georgia" w:hAnsi="Georgia"/>
        </w:rPr>
        <w:t>he</w:t>
      </w:r>
      <w:r w:rsidRPr="00527854">
        <w:rPr>
          <w:rFonts w:ascii="Georgia" w:hAnsi="Georgia"/>
        </w:rPr>
        <w:t xml:space="preserve"> KPI table, consistent with late</w:t>
      </w:r>
      <w:r w:rsidRPr="00527854">
        <w:rPr>
          <w:rFonts w:ascii="Cambria Math" w:hAnsi="Cambria Math" w:cs="Cambria Math"/>
        </w:rPr>
        <w:t>‑</w:t>
      </w:r>
      <w:r w:rsidRPr="00527854">
        <w:rPr>
          <w:rFonts w:ascii="Georgia" w:hAnsi="Georgia"/>
        </w:rPr>
        <w:t>cycle stabilization rather than sharp decline.</w:t>
      </w:r>
    </w:p>
    <w:p w14:paraId="2FE70620" w14:textId="77777777" w:rsidR="007E0401" w:rsidRPr="00527854" w:rsidRDefault="00000000">
      <w:pPr>
        <w:rPr>
          <w:rFonts w:ascii="Georgia" w:hAnsi="Georgia"/>
        </w:rPr>
      </w:pPr>
      <w:r>
        <w:rPr>
          <w:rFonts w:ascii="Georgia" w:hAnsi="Georgia"/>
        </w:rPr>
        <w:pict w14:anchorId="2DC0291D">
          <v:rect id="_x0000_i1058" style="width:0;height:1.5pt" o:hralign="center" o:hrstd="t" o:hr="t"/>
        </w:pict>
      </w:r>
    </w:p>
    <w:p w14:paraId="4CE2BA83" w14:textId="77777777" w:rsidR="007E0401" w:rsidRPr="00527854" w:rsidRDefault="00000000">
      <w:pPr>
        <w:pStyle w:val="Heading2"/>
        <w:rPr>
          <w:rFonts w:ascii="Georgia" w:hAnsi="Georgia"/>
        </w:rPr>
      </w:pPr>
      <w:bookmarkStart w:id="3" w:name="section-ii-tableau-analysis"/>
      <w:bookmarkEnd w:id="2"/>
      <w:r w:rsidRPr="00527854">
        <w:rPr>
          <w:rFonts w:ascii="Georgia" w:hAnsi="Georgia"/>
        </w:rPr>
        <w:t>Section II — Tableau Analysis</w:t>
      </w:r>
    </w:p>
    <w:p w14:paraId="311A18F8" w14:textId="77777777" w:rsidR="007E0401" w:rsidRPr="00527854" w:rsidRDefault="00000000">
      <w:pPr>
        <w:pStyle w:val="FirstParagraph"/>
        <w:rPr>
          <w:rFonts w:ascii="Georgia" w:hAnsi="Georgia"/>
        </w:rPr>
      </w:pPr>
      <w:r w:rsidRPr="00527854">
        <w:rPr>
          <w:rFonts w:ascii="Georgia" w:hAnsi="Georgia"/>
          <w:b/>
          <w:bCs/>
        </w:rPr>
        <w:t>KPI Formulas (exact Tableau expressions) and Interpretations</w:t>
      </w:r>
    </w:p>
    <w:p w14:paraId="513CB2B7" w14:textId="77777777" w:rsidR="007E0401" w:rsidRPr="00527854" w:rsidRDefault="00000000">
      <w:pPr>
        <w:pStyle w:val="BlockText"/>
        <w:rPr>
          <w:rFonts w:ascii="Georgia" w:hAnsi="Georgia"/>
        </w:rPr>
      </w:pPr>
      <w:r w:rsidRPr="00527854">
        <w:rPr>
          <w:rFonts w:ascii="Georgia" w:hAnsi="Georgia"/>
        </w:rPr>
        <w:t xml:space="preserve">All table calculations are computed along </w:t>
      </w:r>
      <w:r w:rsidRPr="00527854">
        <w:rPr>
          <w:rFonts w:ascii="Georgia" w:hAnsi="Georgia"/>
          <w:b/>
          <w:bCs/>
        </w:rPr>
        <w:t>Table (across)</w:t>
      </w:r>
      <w:r w:rsidRPr="00527854">
        <w:rPr>
          <w:rFonts w:ascii="Georgia" w:hAnsi="Georgia"/>
        </w:rPr>
        <w:t xml:space="preserve"> with a chronological Quarter Date.</w:t>
      </w:r>
    </w:p>
    <w:p w14:paraId="20A10168" w14:textId="77777777" w:rsidR="007E0401" w:rsidRPr="00527854" w:rsidRDefault="00000000">
      <w:pPr>
        <w:pStyle w:val="Heading3"/>
        <w:rPr>
          <w:rFonts w:ascii="Georgia" w:hAnsi="Georgia"/>
        </w:rPr>
      </w:pPr>
      <w:bookmarkStart w:id="4" w:name="last-quarter-sales-m"/>
      <w:r w:rsidRPr="00527854">
        <w:rPr>
          <w:rFonts w:ascii="Georgia" w:hAnsi="Georgia"/>
        </w:rPr>
        <w:t>1. Last Quarter Sales (M)</w:t>
      </w:r>
    </w:p>
    <w:p w14:paraId="5BBFADF9" w14:textId="77777777" w:rsidR="007E0401" w:rsidRPr="00527854" w:rsidRDefault="00000000">
      <w:pPr>
        <w:pStyle w:val="Compact"/>
        <w:numPr>
          <w:ilvl w:val="0"/>
          <w:numId w:val="3"/>
        </w:numPr>
        <w:rPr>
          <w:rFonts w:ascii="Georgia" w:hAnsi="Georgia"/>
        </w:rPr>
      </w:pPr>
      <w:r w:rsidRPr="00527854">
        <w:rPr>
          <w:rFonts w:ascii="Georgia" w:hAnsi="Georgia"/>
          <w:b/>
          <w:bCs/>
        </w:rPr>
        <w:t>Description:</w:t>
      </w:r>
      <w:r w:rsidRPr="00527854">
        <w:rPr>
          <w:rFonts w:ascii="Georgia" w:hAnsi="Georgia"/>
        </w:rPr>
        <w:t xml:space="preserve"> Total sales (M) in the most recent quarter.</w:t>
      </w:r>
      <w:r w:rsidRPr="00527854">
        <w:rPr>
          <w:rFonts w:ascii="Georgia" w:hAnsi="Georgia"/>
        </w:rPr>
        <w:br/>
      </w:r>
    </w:p>
    <w:p w14:paraId="63821653" w14:textId="77777777" w:rsidR="007E0401" w:rsidRPr="00527854" w:rsidRDefault="00000000">
      <w:pPr>
        <w:pStyle w:val="Compact"/>
        <w:numPr>
          <w:ilvl w:val="0"/>
          <w:numId w:val="3"/>
        </w:numPr>
        <w:rPr>
          <w:rFonts w:ascii="Georgia" w:hAnsi="Georgia"/>
        </w:rPr>
      </w:pPr>
      <w:r w:rsidRPr="00527854">
        <w:rPr>
          <w:rFonts w:ascii="Georgia" w:hAnsi="Georgia"/>
          <w:b/>
          <w:bCs/>
        </w:rPr>
        <w:t>Tableau Expression:</w:t>
      </w:r>
      <w:r w:rsidRPr="00527854">
        <w:rPr>
          <w:rFonts w:ascii="Georgia" w:hAnsi="Georgia"/>
        </w:rPr>
        <w:t xml:space="preserve"> </w:t>
      </w:r>
      <w:proofErr w:type="gramStart"/>
      <w:r w:rsidRPr="00527854">
        <w:rPr>
          <w:rStyle w:val="VerbatimChar"/>
          <w:rFonts w:ascii="Georgia" w:hAnsi="Georgia"/>
        </w:rPr>
        <w:t>SUM(</w:t>
      </w:r>
      <w:proofErr w:type="gramEnd"/>
      <w:r w:rsidRPr="00527854">
        <w:rPr>
          <w:rStyle w:val="VerbatimChar"/>
          <w:rFonts w:ascii="Georgia" w:hAnsi="Georgia"/>
        </w:rPr>
        <w:t>[Sales M])</w:t>
      </w:r>
      <w:r w:rsidRPr="00527854">
        <w:rPr>
          <w:rFonts w:ascii="Georgia" w:hAnsi="Georgia"/>
        </w:rPr>
        <w:br/>
      </w:r>
    </w:p>
    <w:p w14:paraId="109F6B70" w14:textId="77777777" w:rsidR="007E0401" w:rsidRPr="00527854" w:rsidRDefault="00000000">
      <w:pPr>
        <w:pStyle w:val="Compact"/>
        <w:numPr>
          <w:ilvl w:val="0"/>
          <w:numId w:val="3"/>
        </w:numPr>
        <w:rPr>
          <w:rFonts w:ascii="Georgia" w:hAnsi="Georgia"/>
        </w:rPr>
      </w:pPr>
      <w:r w:rsidRPr="00527854">
        <w:rPr>
          <w:rFonts w:ascii="Georgia" w:hAnsi="Georgia"/>
          <w:b/>
          <w:bCs/>
        </w:rPr>
        <w:lastRenderedPageBreak/>
        <w:t>Interpretation:</w:t>
      </w:r>
      <w:r w:rsidRPr="00527854">
        <w:rPr>
          <w:rFonts w:ascii="Georgia" w:hAnsi="Georgia"/>
        </w:rPr>
        <w:t xml:space="preserve"> Snapshot of current momentum. Filter the view to the </w:t>
      </w:r>
      <w:r w:rsidRPr="00527854">
        <w:rPr>
          <w:rFonts w:ascii="Georgia" w:hAnsi="Georgia"/>
          <w:b/>
          <w:bCs/>
        </w:rPr>
        <w:t>latest quarter</w:t>
      </w:r>
      <w:r w:rsidRPr="00527854">
        <w:rPr>
          <w:rFonts w:ascii="Georgia" w:hAnsi="Georgia"/>
        </w:rPr>
        <w:t>.</w:t>
      </w:r>
    </w:p>
    <w:p w14:paraId="4EE94FC6" w14:textId="77777777" w:rsidR="007E0401" w:rsidRPr="00527854" w:rsidRDefault="00000000">
      <w:pPr>
        <w:pStyle w:val="Heading3"/>
        <w:rPr>
          <w:rFonts w:ascii="Georgia" w:hAnsi="Georgia"/>
        </w:rPr>
      </w:pPr>
      <w:bookmarkStart w:id="5" w:name="quarteroverquarter-qoq-growth"/>
      <w:bookmarkEnd w:id="4"/>
      <w:r w:rsidRPr="00527854">
        <w:rPr>
          <w:rFonts w:ascii="Georgia" w:hAnsi="Georgia"/>
        </w:rPr>
        <w:t>2. Quarter</w:t>
      </w:r>
      <w:r w:rsidRPr="00527854">
        <w:rPr>
          <w:rFonts w:ascii="Cambria Math" w:hAnsi="Cambria Math" w:cs="Cambria Math"/>
        </w:rPr>
        <w:t>‑</w:t>
      </w:r>
      <w:r w:rsidRPr="00527854">
        <w:rPr>
          <w:rFonts w:ascii="Georgia" w:hAnsi="Georgia"/>
        </w:rPr>
        <w:t>over</w:t>
      </w:r>
      <w:r w:rsidRPr="00527854">
        <w:rPr>
          <w:rFonts w:ascii="Cambria Math" w:hAnsi="Cambria Math" w:cs="Cambria Math"/>
        </w:rPr>
        <w:t>‑</w:t>
      </w:r>
      <w:r w:rsidRPr="00527854">
        <w:rPr>
          <w:rFonts w:ascii="Georgia" w:hAnsi="Georgia"/>
        </w:rPr>
        <w:t>Quarter (QoQ) % Growth</w:t>
      </w:r>
    </w:p>
    <w:p w14:paraId="67A63F96" w14:textId="77777777" w:rsidR="007E0401" w:rsidRPr="00527854" w:rsidRDefault="00000000">
      <w:pPr>
        <w:pStyle w:val="Compact"/>
        <w:numPr>
          <w:ilvl w:val="0"/>
          <w:numId w:val="4"/>
        </w:numPr>
        <w:rPr>
          <w:rFonts w:ascii="Georgia" w:hAnsi="Georgia"/>
        </w:rPr>
      </w:pPr>
      <w:r w:rsidRPr="00527854">
        <w:rPr>
          <w:rFonts w:ascii="Georgia" w:hAnsi="Georgia"/>
          <w:b/>
          <w:bCs/>
        </w:rPr>
        <w:t>Description:</w:t>
      </w:r>
      <w:r w:rsidRPr="00527854">
        <w:rPr>
          <w:rFonts w:ascii="Georgia" w:hAnsi="Georgia"/>
        </w:rPr>
        <w:t xml:space="preserve"> Percentage change vs. the previous quarter.</w:t>
      </w:r>
      <w:r w:rsidRPr="00527854">
        <w:rPr>
          <w:rFonts w:ascii="Georgia" w:hAnsi="Georgia"/>
        </w:rPr>
        <w:br/>
      </w:r>
    </w:p>
    <w:p w14:paraId="6FE24378" w14:textId="77777777" w:rsidR="007E0401" w:rsidRPr="00527854" w:rsidRDefault="00000000">
      <w:pPr>
        <w:pStyle w:val="Compact"/>
        <w:numPr>
          <w:ilvl w:val="0"/>
          <w:numId w:val="4"/>
        </w:numPr>
        <w:rPr>
          <w:rFonts w:ascii="Georgia" w:hAnsi="Georgia"/>
        </w:rPr>
      </w:pPr>
      <w:r w:rsidRPr="00527854">
        <w:rPr>
          <w:rFonts w:ascii="Georgia" w:hAnsi="Georgia"/>
          <w:b/>
          <w:bCs/>
        </w:rPr>
        <w:t>Formula (math):</w:t>
      </w:r>
      <w:r w:rsidRPr="00527854">
        <w:rPr>
          <w:rFonts w:ascii="Georgia" w:hAnsi="Georgia"/>
        </w:rPr>
        <w:t xml:space="preserve"> </w:t>
      </w:r>
      <w:r w:rsidRPr="00527854">
        <w:rPr>
          <w:rStyle w:val="VerbatimChar"/>
          <w:rFonts w:ascii="Georgia" w:hAnsi="Georgia"/>
        </w:rPr>
        <w:t>(This Q − Previous Q) / Previous Q</w:t>
      </w:r>
      <w:r w:rsidRPr="00527854">
        <w:rPr>
          <w:rFonts w:ascii="Georgia" w:hAnsi="Georgia"/>
        </w:rPr>
        <w:br/>
      </w:r>
    </w:p>
    <w:p w14:paraId="56433499" w14:textId="77777777" w:rsidR="007E0401" w:rsidRPr="00527854" w:rsidRDefault="00000000">
      <w:pPr>
        <w:pStyle w:val="Compact"/>
        <w:numPr>
          <w:ilvl w:val="0"/>
          <w:numId w:val="4"/>
        </w:numPr>
        <w:rPr>
          <w:rFonts w:ascii="Georgia" w:hAnsi="Georgia"/>
        </w:rPr>
      </w:pPr>
      <w:r w:rsidRPr="00527854">
        <w:rPr>
          <w:rFonts w:ascii="Georgia" w:hAnsi="Georgia"/>
          <w:b/>
          <w:bCs/>
        </w:rPr>
        <w:t>Tableau Expression:</w:t>
      </w:r>
      <w:r w:rsidRPr="00527854">
        <w:rPr>
          <w:rFonts w:ascii="Georgia" w:hAnsi="Georgia"/>
        </w:rPr>
        <w:br/>
      </w:r>
    </w:p>
    <w:p w14:paraId="6B45C1E6" w14:textId="77777777" w:rsidR="007E0401" w:rsidRPr="00527854" w:rsidRDefault="00000000">
      <w:pPr>
        <w:pStyle w:val="SourceCode"/>
        <w:rPr>
          <w:rFonts w:ascii="Georgia" w:hAnsi="Georgia"/>
        </w:rPr>
      </w:pPr>
      <w:proofErr w:type="gramStart"/>
      <w:r w:rsidRPr="00527854">
        <w:rPr>
          <w:rStyle w:val="VerbatimChar"/>
          <w:rFonts w:ascii="Georgia" w:hAnsi="Georgia"/>
        </w:rPr>
        <w:t>( SUM</w:t>
      </w:r>
      <w:proofErr w:type="gramEnd"/>
      <w:r w:rsidRPr="00527854">
        <w:rPr>
          <w:rStyle w:val="VerbatimChar"/>
          <w:rFonts w:ascii="Georgia" w:hAnsi="Georgia"/>
        </w:rPr>
        <w:t xml:space="preserve">([Sales M]) - </w:t>
      </w:r>
      <w:proofErr w:type="gramStart"/>
      <w:r w:rsidRPr="00527854">
        <w:rPr>
          <w:rStyle w:val="VerbatimChar"/>
          <w:rFonts w:ascii="Georgia" w:hAnsi="Georgia"/>
        </w:rPr>
        <w:t>LOOKUP(SUM(</w:t>
      </w:r>
      <w:proofErr w:type="gramEnd"/>
      <w:r w:rsidRPr="00527854">
        <w:rPr>
          <w:rStyle w:val="VerbatimChar"/>
          <w:rFonts w:ascii="Georgia" w:hAnsi="Georgia"/>
        </w:rPr>
        <w:t>[Sales M]), -1</w:t>
      </w:r>
      <w:proofErr w:type="gramStart"/>
      <w:r w:rsidRPr="00527854">
        <w:rPr>
          <w:rStyle w:val="VerbatimChar"/>
          <w:rFonts w:ascii="Georgia" w:hAnsi="Georgia"/>
        </w:rPr>
        <w:t>) )</w:t>
      </w:r>
      <w:proofErr w:type="gramEnd"/>
      <w:r w:rsidRPr="00527854">
        <w:rPr>
          <w:rFonts w:ascii="Georgia" w:hAnsi="Georgia"/>
        </w:rPr>
        <w:br/>
      </w:r>
      <w:r w:rsidRPr="00527854">
        <w:rPr>
          <w:rStyle w:val="VerbatimChar"/>
          <w:rFonts w:ascii="Georgia" w:hAnsi="Georgia"/>
        </w:rPr>
        <w:t xml:space="preserve">/ </w:t>
      </w:r>
      <w:proofErr w:type="gramStart"/>
      <w:r w:rsidRPr="00527854">
        <w:rPr>
          <w:rStyle w:val="VerbatimChar"/>
          <w:rFonts w:ascii="Georgia" w:hAnsi="Georgia"/>
        </w:rPr>
        <w:t>LOOKUP(SUM(</w:t>
      </w:r>
      <w:proofErr w:type="gramEnd"/>
      <w:r w:rsidRPr="00527854">
        <w:rPr>
          <w:rStyle w:val="VerbatimChar"/>
          <w:rFonts w:ascii="Georgia" w:hAnsi="Georgia"/>
        </w:rPr>
        <w:t>[Sales M]), -1)</w:t>
      </w:r>
    </w:p>
    <w:p w14:paraId="6E2C791B" w14:textId="77777777" w:rsidR="007E0401" w:rsidRPr="00527854" w:rsidRDefault="00000000">
      <w:pPr>
        <w:pStyle w:val="Compact"/>
        <w:numPr>
          <w:ilvl w:val="0"/>
          <w:numId w:val="5"/>
        </w:numPr>
        <w:rPr>
          <w:rFonts w:ascii="Georgia" w:hAnsi="Georgia"/>
        </w:rPr>
      </w:pPr>
      <w:r w:rsidRPr="00527854">
        <w:rPr>
          <w:rFonts w:ascii="Georgia" w:hAnsi="Georgia"/>
          <w:b/>
          <w:bCs/>
        </w:rPr>
        <w:t>Interpretation:</w:t>
      </w:r>
      <w:r w:rsidRPr="00527854">
        <w:rPr>
          <w:rFonts w:ascii="Georgia" w:hAnsi="Georgia"/>
        </w:rPr>
        <w:t xml:space="preserve"> Positive = accelerating momentum; negative = slowdown. Computed along </w:t>
      </w:r>
      <w:r w:rsidRPr="00527854">
        <w:rPr>
          <w:rFonts w:ascii="Georgia" w:hAnsi="Georgia"/>
          <w:b/>
          <w:bCs/>
        </w:rPr>
        <w:t>Table (across)</w:t>
      </w:r>
      <w:r w:rsidRPr="00527854">
        <w:rPr>
          <w:rFonts w:ascii="Georgia" w:hAnsi="Georgia"/>
        </w:rPr>
        <w:t>.</w:t>
      </w:r>
    </w:p>
    <w:p w14:paraId="3B2EF805" w14:textId="77777777" w:rsidR="007E0401" w:rsidRPr="00527854" w:rsidRDefault="00000000">
      <w:pPr>
        <w:pStyle w:val="Heading3"/>
        <w:rPr>
          <w:rFonts w:ascii="Georgia" w:hAnsi="Georgia"/>
        </w:rPr>
      </w:pPr>
      <w:bookmarkStart w:id="6" w:name="yearoveryear-yoy-growth"/>
      <w:bookmarkEnd w:id="5"/>
      <w:r w:rsidRPr="00527854">
        <w:rPr>
          <w:rFonts w:ascii="Georgia" w:hAnsi="Georgia"/>
        </w:rPr>
        <w:t>3. Year</w:t>
      </w:r>
      <w:r w:rsidRPr="00527854">
        <w:rPr>
          <w:rFonts w:ascii="Cambria Math" w:hAnsi="Cambria Math" w:cs="Cambria Math"/>
        </w:rPr>
        <w:t>‑</w:t>
      </w:r>
      <w:r w:rsidRPr="00527854">
        <w:rPr>
          <w:rFonts w:ascii="Georgia" w:hAnsi="Georgia"/>
        </w:rPr>
        <w:t>over</w:t>
      </w:r>
      <w:r w:rsidRPr="00527854">
        <w:rPr>
          <w:rFonts w:ascii="Cambria Math" w:hAnsi="Cambria Math" w:cs="Cambria Math"/>
        </w:rPr>
        <w:t>‑</w:t>
      </w:r>
      <w:r w:rsidRPr="00527854">
        <w:rPr>
          <w:rFonts w:ascii="Georgia" w:hAnsi="Georgia"/>
        </w:rPr>
        <w:t>Year (YoY) % Growth</w:t>
      </w:r>
    </w:p>
    <w:p w14:paraId="13EDB15C" w14:textId="77777777" w:rsidR="007E0401" w:rsidRPr="00527854" w:rsidRDefault="00000000">
      <w:pPr>
        <w:pStyle w:val="Compact"/>
        <w:numPr>
          <w:ilvl w:val="0"/>
          <w:numId w:val="6"/>
        </w:numPr>
        <w:rPr>
          <w:rFonts w:ascii="Georgia" w:hAnsi="Georgia"/>
        </w:rPr>
      </w:pPr>
      <w:r w:rsidRPr="00527854">
        <w:rPr>
          <w:rFonts w:ascii="Georgia" w:hAnsi="Georgia"/>
          <w:b/>
          <w:bCs/>
        </w:rPr>
        <w:t>Description:</w:t>
      </w:r>
      <w:r w:rsidRPr="00527854">
        <w:rPr>
          <w:rFonts w:ascii="Georgia" w:hAnsi="Georgia"/>
        </w:rPr>
        <w:t xml:space="preserve"> Percentage change vs. the same quarter last year.</w:t>
      </w:r>
      <w:r w:rsidRPr="00527854">
        <w:rPr>
          <w:rFonts w:ascii="Georgia" w:hAnsi="Georgia"/>
        </w:rPr>
        <w:br/>
      </w:r>
    </w:p>
    <w:p w14:paraId="20B9CC39" w14:textId="77777777" w:rsidR="007E0401" w:rsidRPr="00527854" w:rsidRDefault="00000000">
      <w:pPr>
        <w:pStyle w:val="Compact"/>
        <w:numPr>
          <w:ilvl w:val="0"/>
          <w:numId w:val="6"/>
        </w:numPr>
        <w:rPr>
          <w:rFonts w:ascii="Georgia" w:hAnsi="Georgia"/>
        </w:rPr>
      </w:pPr>
      <w:r w:rsidRPr="00527854">
        <w:rPr>
          <w:rFonts w:ascii="Georgia" w:hAnsi="Georgia"/>
          <w:b/>
          <w:bCs/>
        </w:rPr>
        <w:t>Formula (math):</w:t>
      </w:r>
      <w:r w:rsidRPr="00527854">
        <w:rPr>
          <w:rFonts w:ascii="Georgia" w:hAnsi="Georgia"/>
        </w:rPr>
        <w:t xml:space="preserve"> </w:t>
      </w:r>
      <w:r w:rsidRPr="00527854">
        <w:rPr>
          <w:rStyle w:val="VerbatimChar"/>
          <w:rFonts w:ascii="Georgia" w:hAnsi="Georgia"/>
        </w:rPr>
        <w:t>(This Q − Same Q Last Year) / Same Q Last Year</w:t>
      </w:r>
      <w:r w:rsidRPr="00527854">
        <w:rPr>
          <w:rFonts w:ascii="Georgia" w:hAnsi="Georgia"/>
        </w:rPr>
        <w:br/>
      </w:r>
    </w:p>
    <w:p w14:paraId="12DC6A38" w14:textId="77777777" w:rsidR="007E0401" w:rsidRPr="00527854" w:rsidRDefault="00000000">
      <w:pPr>
        <w:pStyle w:val="Compact"/>
        <w:numPr>
          <w:ilvl w:val="0"/>
          <w:numId w:val="6"/>
        </w:numPr>
        <w:rPr>
          <w:rFonts w:ascii="Georgia" w:hAnsi="Georgia"/>
        </w:rPr>
      </w:pPr>
      <w:r w:rsidRPr="00527854">
        <w:rPr>
          <w:rFonts w:ascii="Georgia" w:hAnsi="Georgia"/>
          <w:b/>
          <w:bCs/>
        </w:rPr>
        <w:t>Tableau Expression:</w:t>
      </w:r>
      <w:r w:rsidRPr="00527854">
        <w:rPr>
          <w:rFonts w:ascii="Georgia" w:hAnsi="Georgia"/>
        </w:rPr>
        <w:br/>
      </w:r>
    </w:p>
    <w:p w14:paraId="2CE3B312" w14:textId="77777777" w:rsidR="007E0401" w:rsidRPr="00527854" w:rsidRDefault="00000000">
      <w:pPr>
        <w:pStyle w:val="SourceCode"/>
        <w:rPr>
          <w:rFonts w:ascii="Georgia" w:hAnsi="Georgia"/>
        </w:rPr>
      </w:pPr>
      <w:proofErr w:type="gramStart"/>
      <w:r w:rsidRPr="00527854">
        <w:rPr>
          <w:rStyle w:val="VerbatimChar"/>
          <w:rFonts w:ascii="Georgia" w:hAnsi="Georgia"/>
        </w:rPr>
        <w:t>( SUM</w:t>
      </w:r>
      <w:proofErr w:type="gramEnd"/>
      <w:r w:rsidRPr="00527854">
        <w:rPr>
          <w:rStyle w:val="VerbatimChar"/>
          <w:rFonts w:ascii="Georgia" w:hAnsi="Georgia"/>
        </w:rPr>
        <w:t xml:space="preserve">([Sales M]) - </w:t>
      </w:r>
      <w:proofErr w:type="gramStart"/>
      <w:r w:rsidRPr="00527854">
        <w:rPr>
          <w:rStyle w:val="VerbatimChar"/>
          <w:rFonts w:ascii="Georgia" w:hAnsi="Georgia"/>
        </w:rPr>
        <w:t>LOOKUP(SUM(</w:t>
      </w:r>
      <w:proofErr w:type="gramEnd"/>
      <w:r w:rsidRPr="00527854">
        <w:rPr>
          <w:rStyle w:val="VerbatimChar"/>
          <w:rFonts w:ascii="Georgia" w:hAnsi="Georgia"/>
        </w:rPr>
        <w:t>[Sales M]), -4</w:t>
      </w:r>
      <w:proofErr w:type="gramStart"/>
      <w:r w:rsidRPr="00527854">
        <w:rPr>
          <w:rStyle w:val="VerbatimChar"/>
          <w:rFonts w:ascii="Georgia" w:hAnsi="Georgia"/>
        </w:rPr>
        <w:t>) )</w:t>
      </w:r>
      <w:proofErr w:type="gramEnd"/>
      <w:r w:rsidRPr="00527854">
        <w:rPr>
          <w:rFonts w:ascii="Georgia" w:hAnsi="Georgia"/>
        </w:rPr>
        <w:br/>
      </w:r>
      <w:r w:rsidRPr="00527854">
        <w:rPr>
          <w:rStyle w:val="VerbatimChar"/>
          <w:rFonts w:ascii="Georgia" w:hAnsi="Georgia"/>
        </w:rPr>
        <w:t xml:space="preserve">/ </w:t>
      </w:r>
      <w:proofErr w:type="gramStart"/>
      <w:r w:rsidRPr="00527854">
        <w:rPr>
          <w:rStyle w:val="VerbatimChar"/>
          <w:rFonts w:ascii="Georgia" w:hAnsi="Georgia"/>
        </w:rPr>
        <w:t>LOOKUP(SUM(</w:t>
      </w:r>
      <w:proofErr w:type="gramEnd"/>
      <w:r w:rsidRPr="00527854">
        <w:rPr>
          <w:rStyle w:val="VerbatimChar"/>
          <w:rFonts w:ascii="Georgia" w:hAnsi="Georgia"/>
        </w:rPr>
        <w:t>[Sales M]), -4)</w:t>
      </w:r>
    </w:p>
    <w:p w14:paraId="36599361" w14:textId="77777777" w:rsidR="007E0401" w:rsidRPr="00527854" w:rsidRDefault="00000000">
      <w:pPr>
        <w:pStyle w:val="Compact"/>
        <w:numPr>
          <w:ilvl w:val="0"/>
          <w:numId w:val="7"/>
        </w:numPr>
        <w:rPr>
          <w:rFonts w:ascii="Georgia" w:hAnsi="Georgia"/>
        </w:rPr>
      </w:pPr>
      <w:r w:rsidRPr="00527854">
        <w:rPr>
          <w:rFonts w:ascii="Georgia" w:hAnsi="Georgia"/>
          <w:b/>
          <w:bCs/>
        </w:rPr>
        <w:t>Interpretation:</w:t>
      </w:r>
      <w:r w:rsidRPr="00527854">
        <w:rPr>
          <w:rFonts w:ascii="Georgia" w:hAnsi="Georgia"/>
        </w:rPr>
        <w:t xml:space="preserve"> Neutralizes seasonality; highlights long</w:t>
      </w:r>
      <w:r w:rsidRPr="00527854">
        <w:rPr>
          <w:rFonts w:ascii="Cambria Math" w:hAnsi="Cambria Math" w:cs="Cambria Math"/>
        </w:rPr>
        <w:t>‑</w:t>
      </w:r>
      <w:r w:rsidRPr="00527854">
        <w:rPr>
          <w:rFonts w:ascii="Georgia" w:hAnsi="Georgia"/>
        </w:rPr>
        <w:t>term sustainability.</w:t>
      </w:r>
    </w:p>
    <w:p w14:paraId="2577C1E9" w14:textId="77777777" w:rsidR="007E0401" w:rsidRPr="00527854" w:rsidRDefault="00000000">
      <w:pPr>
        <w:pStyle w:val="Heading3"/>
        <w:rPr>
          <w:rFonts w:ascii="Georgia" w:hAnsi="Georgia"/>
        </w:rPr>
      </w:pPr>
      <w:bookmarkStart w:id="7" w:name="rolling-4quarter-sales-m"/>
      <w:bookmarkEnd w:id="6"/>
      <w:r w:rsidRPr="00527854">
        <w:rPr>
          <w:rFonts w:ascii="Georgia" w:hAnsi="Georgia"/>
        </w:rPr>
        <w:t>4. Rolling 4</w:t>
      </w:r>
      <w:r w:rsidRPr="00527854">
        <w:rPr>
          <w:rFonts w:ascii="Cambria Math" w:hAnsi="Cambria Math" w:cs="Cambria Math"/>
        </w:rPr>
        <w:t>‑</w:t>
      </w:r>
      <w:r w:rsidRPr="00527854">
        <w:rPr>
          <w:rFonts w:ascii="Georgia" w:hAnsi="Georgia"/>
        </w:rPr>
        <w:t>Quarter Sales (M)</w:t>
      </w:r>
    </w:p>
    <w:p w14:paraId="7E56E108" w14:textId="77777777" w:rsidR="007E0401" w:rsidRPr="00527854" w:rsidRDefault="00000000">
      <w:pPr>
        <w:pStyle w:val="Compact"/>
        <w:numPr>
          <w:ilvl w:val="0"/>
          <w:numId w:val="8"/>
        </w:numPr>
        <w:rPr>
          <w:rFonts w:ascii="Georgia" w:hAnsi="Georgia"/>
        </w:rPr>
      </w:pPr>
      <w:r w:rsidRPr="00527854">
        <w:rPr>
          <w:rFonts w:ascii="Georgia" w:hAnsi="Georgia"/>
          <w:b/>
          <w:bCs/>
        </w:rPr>
        <w:t>Description:</w:t>
      </w:r>
      <w:r w:rsidRPr="00527854">
        <w:rPr>
          <w:rFonts w:ascii="Georgia" w:hAnsi="Georgia"/>
        </w:rPr>
        <w:t xml:space="preserve"> Sum of sales over the last 4 quarters (run</w:t>
      </w:r>
      <w:r w:rsidRPr="00527854">
        <w:rPr>
          <w:rFonts w:ascii="Cambria Math" w:hAnsi="Cambria Math" w:cs="Cambria Math"/>
        </w:rPr>
        <w:t>‑</w:t>
      </w:r>
      <w:r w:rsidRPr="00527854">
        <w:rPr>
          <w:rFonts w:ascii="Georgia" w:hAnsi="Georgia"/>
        </w:rPr>
        <w:t>rate).</w:t>
      </w:r>
      <w:r w:rsidRPr="00527854">
        <w:rPr>
          <w:rFonts w:ascii="Georgia" w:hAnsi="Georgia"/>
        </w:rPr>
        <w:br/>
      </w:r>
    </w:p>
    <w:p w14:paraId="6603E47E" w14:textId="77777777" w:rsidR="007E0401" w:rsidRPr="00527854" w:rsidRDefault="00000000">
      <w:pPr>
        <w:pStyle w:val="Compact"/>
        <w:numPr>
          <w:ilvl w:val="0"/>
          <w:numId w:val="8"/>
        </w:numPr>
        <w:rPr>
          <w:rFonts w:ascii="Georgia" w:hAnsi="Georgia"/>
        </w:rPr>
      </w:pPr>
      <w:r w:rsidRPr="00527854">
        <w:rPr>
          <w:rFonts w:ascii="Georgia" w:hAnsi="Georgia"/>
          <w:b/>
          <w:bCs/>
        </w:rPr>
        <w:t>Tableau Expression:</w:t>
      </w:r>
      <w:r w:rsidRPr="00527854">
        <w:rPr>
          <w:rFonts w:ascii="Georgia" w:hAnsi="Georgia"/>
        </w:rPr>
        <w:br/>
      </w:r>
    </w:p>
    <w:p w14:paraId="3E61A7E4" w14:textId="77777777" w:rsidR="007E0401" w:rsidRPr="00527854" w:rsidRDefault="00000000">
      <w:pPr>
        <w:pStyle w:val="SourceCode"/>
        <w:rPr>
          <w:rFonts w:ascii="Georgia" w:hAnsi="Georgia"/>
        </w:rPr>
      </w:pPr>
      <w:r w:rsidRPr="00527854">
        <w:rPr>
          <w:rStyle w:val="VerbatimChar"/>
          <w:rFonts w:ascii="Georgia" w:hAnsi="Georgia"/>
        </w:rPr>
        <w:t>WINDOW_</w:t>
      </w:r>
      <w:proofErr w:type="gramStart"/>
      <w:r w:rsidRPr="00527854">
        <w:rPr>
          <w:rStyle w:val="VerbatimChar"/>
          <w:rFonts w:ascii="Georgia" w:hAnsi="Georgia"/>
        </w:rPr>
        <w:t>SUM(SUM(</w:t>
      </w:r>
      <w:proofErr w:type="gramEnd"/>
      <w:r w:rsidRPr="00527854">
        <w:rPr>
          <w:rStyle w:val="VerbatimChar"/>
          <w:rFonts w:ascii="Georgia" w:hAnsi="Georgia"/>
        </w:rPr>
        <w:t>[Sales M]), -3, 0)</w:t>
      </w:r>
    </w:p>
    <w:p w14:paraId="4372A1CE" w14:textId="77777777" w:rsidR="007E0401" w:rsidRPr="00527854" w:rsidRDefault="00000000">
      <w:pPr>
        <w:pStyle w:val="Compact"/>
        <w:numPr>
          <w:ilvl w:val="0"/>
          <w:numId w:val="9"/>
        </w:numPr>
        <w:rPr>
          <w:rFonts w:ascii="Georgia" w:hAnsi="Georgia"/>
        </w:rPr>
      </w:pPr>
      <w:r w:rsidRPr="00527854">
        <w:rPr>
          <w:rFonts w:ascii="Georgia" w:hAnsi="Georgia"/>
          <w:b/>
          <w:bCs/>
        </w:rPr>
        <w:t>Interpretation:</w:t>
      </w:r>
      <w:r w:rsidRPr="00527854">
        <w:rPr>
          <w:rFonts w:ascii="Georgia" w:hAnsi="Georgia"/>
        </w:rPr>
        <w:t xml:space="preserve"> Smooths seasonal spikes; measures annualized demand trajectory.</w:t>
      </w:r>
    </w:p>
    <w:p w14:paraId="1FB63CB8" w14:textId="77777777" w:rsidR="007E0401" w:rsidRPr="00527854" w:rsidRDefault="00000000">
      <w:pPr>
        <w:pStyle w:val="Heading3"/>
        <w:rPr>
          <w:rFonts w:ascii="Georgia" w:hAnsi="Georgia"/>
        </w:rPr>
      </w:pPr>
      <w:bookmarkStart w:id="8" w:name="lifetime-sales-cumulative"/>
      <w:bookmarkEnd w:id="7"/>
      <w:r w:rsidRPr="00527854">
        <w:rPr>
          <w:rFonts w:ascii="Georgia" w:hAnsi="Georgia"/>
        </w:rPr>
        <w:t>5. Lifetime Sales (Cumulative)</w:t>
      </w:r>
    </w:p>
    <w:p w14:paraId="2D44335D" w14:textId="77777777" w:rsidR="007E0401" w:rsidRPr="00527854" w:rsidRDefault="00000000">
      <w:pPr>
        <w:pStyle w:val="Compact"/>
        <w:numPr>
          <w:ilvl w:val="0"/>
          <w:numId w:val="10"/>
        </w:numPr>
        <w:rPr>
          <w:rFonts w:ascii="Georgia" w:hAnsi="Georgia"/>
        </w:rPr>
      </w:pPr>
      <w:r w:rsidRPr="00527854">
        <w:rPr>
          <w:rFonts w:ascii="Georgia" w:hAnsi="Georgia"/>
          <w:b/>
          <w:bCs/>
        </w:rPr>
        <w:t>Description:</w:t>
      </w:r>
      <w:r w:rsidRPr="00527854">
        <w:rPr>
          <w:rFonts w:ascii="Georgia" w:hAnsi="Georgia"/>
        </w:rPr>
        <w:t xml:space="preserve"> Total cumulative sales since launch.</w:t>
      </w:r>
      <w:r w:rsidRPr="00527854">
        <w:rPr>
          <w:rFonts w:ascii="Georgia" w:hAnsi="Georgia"/>
        </w:rPr>
        <w:br/>
      </w:r>
    </w:p>
    <w:p w14:paraId="2C734C6E" w14:textId="77777777" w:rsidR="007E0401" w:rsidRPr="00527854" w:rsidRDefault="00000000">
      <w:pPr>
        <w:pStyle w:val="Compact"/>
        <w:numPr>
          <w:ilvl w:val="0"/>
          <w:numId w:val="10"/>
        </w:numPr>
        <w:rPr>
          <w:rFonts w:ascii="Georgia" w:hAnsi="Georgia"/>
        </w:rPr>
      </w:pPr>
      <w:r w:rsidRPr="00527854">
        <w:rPr>
          <w:rFonts w:ascii="Georgia" w:hAnsi="Georgia"/>
          <w:b/>
          <w:bCs/>
        </w:rPr>
        <w:t>Tableau Expression:</w:t>
      </w:r>
      <w:r w:rsidRPr="00527854">
        <w:rPr>
          <w:rFonts w:ascii="Georgia" w:hAnsi="Georgia"/>
        </w:rPr>
        <w:br/>
      </w:r>
    </w:p>
    <w:p w14:paraId="5E47E30A" w14:textId="77777777" w:rsidR="007E0401" w:rsidRPr="00527854" w:rsidRDefault="00000000">
      <w:pPr>
        <w:pStyle w:val="SourceCode"/>
        <w:rPr>
          <w:rFonts w:ascii="Georgia" w:hAnsi="Georgia"/>
        </w:rPr>
      </w:pPr>
      <w:r w:rsidRPr="00527854">
        <w:rPr>
          <w:rStyle w:val="VerbatimChar"/>
          <w:rFonts w:ascii="Georgia" w:hAnsi="Georgia"/>
        </w:rPr>
        <w:t>RUNNING_</w:t>
      </w:r>
      <w:proofErr w:type="gramStart"/>
      <w:r w:rsidRPr="00527854">
        <w:rPr>
          <w:rStyle w:val="VerbatimChar"/>
          <w:rFonts w:ascii="Georgia" w:hAnsi="Georgia"/>
        </w:rPr>
        <w:t>SUM(SUM(</w:t>
      </w:r>
      <w:proofErr w:type="gramEnd"/>
      <w:r w:rsidRPr="00527854">
        <w:rPr>
          <w:rStyle w:val="VerbatimChar"/>
          <w:rFonts w:ascii="Georgia" w:hAnsi="Georgia"/>
        </w:rPr>
        <w:t>[Sales M]))</w:t>
      </w:r>
    </w:p>
    <w:p w14:paraId="06DDD0A0" w14:textId="77777777" w:rsidR="007E0401" w:rsidRPr="00527854" w:rsidRDefault="00000000">
      <w:pPr>
        <w:pStyle w:val="Compact"/>
        <w:numPr>
          <w:ilvl w:val="0"/>
          <w:numId w:val="11"/>
        </w:numPr>
        <w:rPr>
          <w:rFonts w:ascii="Georgia" w:hAnsi="Georgia"/>
        </w:rPr>
      </w:pPr>
      <w:r w:rsidRPr="00527854">
        <w:rPr>
          <w:rFonts w:ascii="Georgia" w:hAnsi="Georgia"/>
          <w:b/>
          <w:bCs/>
        </w:rPr>
        <w:lastRenderedPageBreak/>
        <w:t>Interpretation:</w:t>
      </w:r>
      <w:r w:rsidRPr="00527854">
        <w:rPr>
          <w:rFonts w:ascii="Georgia" w:hAnsi="Georgia"/>
        </w:rPr>
        <w:t xml:space="preserve"> The latest point on the line equals </w:t>
      </w:r>
      <w:r w:rsidRPr="00527854">
        <w:rPr>
          <w:rFonts w:ascii="Georgia" w:hAnsi="Georgia"/>
          <w:b/>
          <w:bCs/>
        </w:rPr>
        <w:t>lifetime sales</w:t>
      </w:r>
      <w:r w:rsidRPr="00527854">
        <w:rPr>
          <w:rFonts w:ascii="Georgia" w:hAnsi="Georgia"/>
        </w:rPr>
        <w:t>. Best indicator of scale and market penetration.</w:t>
      </w:r>
    </w:p>
    <w:p w14:paraId="06994360" w14:textId="77777777" w:rsidR="007E0401" w:rsidRPr="00527854" w:rsidRDefault="00000000">
      <w:pPr>
        <w:rPr>
          <w:rFonts w:ascii="Georgia" w:hAnsi="Georgia"/>
        </w:rPr>
      </w:pPr>
      <w:r>
        <w:rPr>
          <w:rFonts w:ascii="Georgia" w:hAnsi="Georgia"/>
        </w:rPr>
        <w:pict w14:anchorId="3FF609D0">
          <v:rect id="_x0000_i1059" style="width:0;height:1.5pt" o:hralign="center" o:hrstd="t" o:hr="t"/>
        </w:pict>
      </w:r>
    </w:p>
    <w:p w14:paraId="40BA64A9" w14:textId="77777777" w:rsidR="007E0401" w:rsidRPr="00527854" w:rsidRDefault="00000000">
      <w:pPr>
        <w:pStyle w:val="Heading2"/>
        <w:rPr>
          <w:rFonts w:ascii="Georgia" w:hAnsi="Georgia"/>
        </w:rPr>
      </w:pPr>
      <w:bookmarkStart w:id="9" w:name="dashboard-views-questions"/>
      <w:bookmarkEnd w:id="3"/>
      <w:bookmarkEnd w:id="8"/>
      <w:r w:rsidRPr="00527854">
        <w:rPr>
          <w:rFonts w:ascii="Georgia" w:hAnsi="Georgia"/>
        </w:rPr>
        <w:t>Dashboard Views &amp; Questions</w:t>
      </w:r>
    </w:p>
    <w:p w14:paraId="49B4765E" w14:textId="77777777" w:rsidR="007E0401" w:rsidRPr="00527854" w:rsidRDefault="00000000">
      <w:pPr>
        <w:pStyle w:val="Compact"/>
        <w:numPr>
          <w:ilvl w:val="0"/>
          <w:numId w:val="12"/>
        </w:numPr>
        <w:rPr>
          <w:rFonts w:ascii="Georgia" w:hAnsi="Georgia"/>
        </w:rPr>
      </w:pPr>
      <w:r w:rsidRPr="00527854">
        <w:rPr>
          <w:rFonts w:ascii="Georgia" w:hAnsi="Georgia"/>
          <w:b/>
          <w:bCs/>
        </w:rPr>
        <w:t>Cumulative Sales Over Time:</w:t>
      </w:r>
      <w:r w:rsidRPr="00527854">
        <w:rPr>
          <w:rFonts w:ascii="Georgia" w:hAnsi="Georgia"/>
        </w:rPr>
        <w:t xml:space="preserve"> Answers lifetime scale and trajectory; endpoint = lifetime total (150.87M).</w:t>
      </w:r>
      <w:r w:rsidRPr="00527854">
        <w:rPr>
          <w:rFonts w:ascii="Georgia" w:hAnsi="Georgia"/>
        </w:rPr>
        <w:br/>
      </w:r>
    </w:p>
    <w:p w14:paraId="2B2DDF39" w14:textId="77777777" w:rsidR="007E0401" w:rsidRPr="00527854" w:rsidRDefault="00000000">
      <w:pPr>
        <w:pStyle w:val="Compact"/>
        <w:numPr>
          <w:ilvl w:val="0"/>
          <w:numId w:val="12"/>
        </w:numPr>
        <w:rPr>
          <w:rFonts w:ascii="Georgia" w:hAnsi="Georgia"/>
        </w:rPr>
      </w:pPr>
      <w:r w:rsidRPr="00527854">
        <w:rPr>
          <w:rFonts w:ascii="Georgia" w:hAnsi="Georgia"/>
          <w:b/>
          <w:bCs/>
        </w:rPr>
        <w:t>Global Quarterly Sales Trend Chart:</w:t>
      </w:r>
      <w:r w:rsidRPr="00527854">
        <w:rPr>
          <w:rFonts w:ascii="Georgia" w:hAnsi="Georgia"/>
        </w:rPr>
        <w:t xml:space="preserve"> Shows quarterly contributions by region; explains step</w:t>
      </w:r>
      <w:r w:rsidRPr="00527854">
        <w:rPr>
          <w:rFonts w:ascii="Cambria Math" w:hAnsi="Cambria Math" w:cs="Cambria Math"/>
        </w:rPr>
        <w:t>‑</w:t>
      </w:r>
      <w:r w:rsidRPr="00527854">
        <w:rPr>
          <w:rFonts w:ascii="Georgia" w:hAnsi="Georgia"/>
        </w:rPr>
        <w:t>ups leading to cumulative milestones.</w:t>
      </w:r>
      <w:r w:rsidRPr="00527854">
        <w:rPr>
          <w:rFonts w:ascii="Georgia" w:hAnsi="Georgia"/>
        </w:rPr>
        <w:br/>
      </w:r>
    </w:p>
    <w:p w14:paraId="19D956D7" w14:textId="77777777" w:rsidR="007E0401" w:rsidRPr="00527854" w:rsidRDefault="00000000">
      <w:pPr>
        <w:pStyle w:val="Compact"/>
        <w:numPr>
          <w:ilvl w:val="0"/>
          <w:numId w:val="12"/>
        </w:numPr>
        <w:rPr>
          <w:rFonts w:ascii="Georgia" w:hAnsi="Georgia"/>
        </w:rPr>
      </w:pPr>
      <w:r w:rsidRPr="00527854">
        <w:rPr>
          <w:rFonts w:ascii="Georgia" w:hAnsi="Georgia"/>
          <w:b/>
          <w:bCs/>
        </w:rPr>
        <w:t>Peak Performance Years:</w:t>
      </w:r>
      <w:r w:rsidRPr="00527854">
        <w:rPr>
          <w:rFonts w:ascii="Georgia" w:hAnsi="Georgia"/>
        </w:rPr>
        <w:t xml:space="preserve"> Identifies </w:t>
      </w:r>
      <w:r w:rsidRPr="00527854">
        <w:rPr>
          <w:rFonts w:ascii="Georgia" w:hAnsi="Georgia"/>
          <w:b/>
          <w:bCs/>
        </w:rPr>
        <w:t>2020</w:t>
      </w:r>
      <w:r w:rsidRPr="00527854">
        <w:rPr>
          <w:rFonts w:ascii="Georgia" w:hAnsi="Georgia"/>
        </w:rPr>
        <w:t xml:space="preserve"> as the strongest year.</w:t>
      </w:r>
      <w:r w:rsidRPr="00527854">
        <w:rPr>
          <w:rFonts w:ascii="Georgia" w:hAnsi="Georgia"/>
        </w:rPr>
        <w:br/>
      </w:r>
    </w:p>
    <w:p w14:paraId="41E5345F" w14:textId="77777777" w:rsidR="007E0401" w:rsidRPr="00527854" w:rsidRDefault="00000000">
      <w:pPr>
        <w:pStyle w:val="Compact"/>
        <w:numPr>
          <w:ilvl w:val="0"/>
          <w:numId w:val="12"/>
        </w:numPr>
        <w:rPr>
          <w:rFonts w:ascii="Georgia" w:hAnsi="Georgia"/>
        </w:rPr>
      </w:pPr>
      <w:r w:rsidRPr="00527854">
        <w:rPr>
          <w:rFonts w:ascii="Georgia" w:hAnsi="Georgia"/>
          <w:b/>
          <w:bCs/>
        </w:rPr>
        <w:t>Best Performing Quarters:</w:t>
      </w:r>
      <w:r w:rsidRPr="00527854">
        <w:rPr>
          <w:rFonts w:ascii="Georgia" w:hAnsi="Georgia"/>
        </w:rPr>
        <w:t xml:space="preserve"> Shows recurring </w:t>
      </w:r>
      <w:r w:rsidRPr="00527854">
        <w:rPr>
          <w:rFonts w:ascii="Georgia" w:hAnsi="Georgia"/>
          <w:b/>
          <w:bCs/>
        </w:rPr>
        <w:t>Q4</w:t>
      </w:r>
      <w:r w:rsidRPr="00527854">
        <w:rPr>
          <w:rFonts w:ascii="Georgia" w:hAnsi="Georgia"/>
        </w:rPr>
        <w:t xml:space="preserve"> strength with </w:t>
      </w:r>
      <w:r w:rsidRPr="00527854">
        <w:rPr>
          <w:rFonts w:ascii="Georgia" w:hAnsi="Georgia"/>
          <w:b/>
          <w:bCs/>
        </w:rPr>
        <w:t>2020 Q4</w:t>
      </w:r>
      <w:r w:rsidRPr="00527854">
        <w:rPr>
          <w:rFonts w:ascii="Georgia" w:hAnsi="Georgia"/>
        </w:rPr>
        <w:t xml:space="preserve"> as the top quarter.</w:t>
      </w:r>
      <w:r w:rsidRPr="00527854">
        <w:rPr>
          <w:rFonts w:ascii="Georgia" w:hAnsi="Georgia"/>
        </w:rPr>
        <w:br/>
      </w:r>
    </w:p>
    <w:p w14:paraId="1116F82E" w14:textId="77777777" w:rsidR="007E0401" w:rsidRPr="00527854" w:rsidRDefault="00000000">
      <w:pPr>
        <w:pStyle w:val="Compact"/>
        <w:numPr>
          <w:ilvl w:val="0"/>
          <w:numId w:val="12"/>
        </w:numPr>
        <w:rPr>
          <w:rFonts w:ascii="Georgia" w:hAnsi="Georgia"/>
        </w:rPr>
      </w:pPr>
      <w:r w:rsidRPr="00527854">
        <w:rPr>
          <w:rFonts w:ascii="Georgia" w:hAnsi="Georgia"/>
          <w:b/>
          <w:bCs/>
        </w:rPr>
        <w:t>Regional Sales by Region (TOTAL SALES) &amp; Region YoY:</w:t>
      </w:r>
      <w:r w:rsidRPr="00527854">
        <w:rPr>
          <w:rFonts w:ascii="Georgia" w:hAnsi="Georgia"/>
        </w:rPr>
        <w:t xml:space="preserve"> Quantifies regional balance and year</w:t>
      </w:r>
      <w:r w:rsidRPr="00527854">
        <w:rPr>
          <w:rFonts w:ascii="Cambria Math" w:hAnsi="Cambria Math" w:cs="Cambria Math"/>
        </w:rPr>
        <w:t>‑</w:t>
      </w:r>
      <w:r w:rsidRPr="00527854">
        <w:rPr>
          <w:rFonts w:ascii="Georgia" w:hAnsi="Georgia"/>
        </w:rPr>
        <w:t>over</w:t>
      </w:r>
      <w:r w:rsidRPr="00527854">
        <w:rPr>
          <w:rFonts w:ascii="Cambria Math" w:hAnsi="Cambria Math" w:cs="Cambria Math"/>
        </w:rPr>
        <w:t>‑</w:t>
      </w:r>
      <w:r w:rsidRPr="00527854">
        <w:rPr>
          <w:rFonts w:ascii="Georgia" w:hAnsi="Georgia"/>
        </w:rPr>
        <w:t>year changes by region.</w:t>
      </w:r>
      <w:r w:rsidRPr="00527854">
        <w:rPr>
          <w:rFonts w:ascii="Georgia" w:hAnsi="Georgia"/>
        </w:rPr>
        <w:br/>
      </w:r>
    </w:p>
    <w:p w14:paraId="393BC41E" w14:textId="77777777" w:rsidR="007E0401" w:rsidRPr="00527854" w:rsidRDefault="00000000">
      <w:pPr>
        <w:pStyle w:val="Compact"/>
        <w:numPr>
          <w:ilvl w:val="0"/>
          <w:numId w:val="12"/>
        </w:numPr>
        <w:rPr>
          <w:rFonts w:ascii="Georgia" w:hAnsi="Georgia"/>
        </w:rPr>
      </w:pPr>
      <w:r w:rsidRPr="00527854">
        <w:rPr>
          <w:rFonts w:ascii="Georgia" w:hAnsi="Georgia"/>
          <w:b/>
          <w:bCs/>
        </w:rPr>
        <w:t>Yearly Sales Growth Rate — KPI:</w:t>
      </w:r>
      <w:r w:rsidRPr="00527854">
        <w:rPr>
          <w:rFonts w:ascii="Georgia" w:hAnsi="Georgia"/>
        </w:rPr>
        <w:t xml:space="preserve"> Summarizes YoY by year (positive through 2019–2020, softer 2021–2023, rebound in 2024).</w:t>
      </w:r>
    </w:p>
    <w:p w14:paraId="44DF90B5" w14:textId="77777777" w:rsidR="007E0401" w:rsidRPr="00527854" w:rsidRDefault="00000000">
      <w:pPr>
        <w:rPr>
          <w:rFonts w:ascii="Georgia" w:hAnsi="Georgia"/>
        </w:rPr>
      </w:pPr>
      <w:r>
        <w:rPr>
          <w:rFonts w:ascii="Georgia" w:hAnsi="Georgia"/>
        </w:rPr>
        <w:pict w14:anchorId="5CE346F4">
          <v:rect id="_x0000_i1060" style="width:0;height:1.5pt" o:hralign="center" o:hrstd="t" o:hr="t"/>
        </w:pict>
      </w:r>
    </w:p>
    <w:p w14:paraId="4FBF597A" w14:textId="77777777" w:rsidR="007E0401" w:rsidRPr="00527854" w:rsidRDefault="00000000">
      <w:pPr>
        <w:pStyle w:val="Heading2"/>
        <w:rPr>
          <w:rFonts w:ascii="Georgia" w:hAnsi="Georgia"/>
        </w:rPr>
      </w:pPr>
      <w:bookmarkStart w:id="10" w:name="guardrails-common-pitfalls"/>
      <w:bookmarkEnd w:id="9"/>
      <w:r w:rsidRPr="00527854">
        <w:rPr>
          <w:rFonts w:ascii="Georgia" w:hAnsi="Georgia"/>
        </w:rPr>
        <w:t>Guardrails &amp; Common Pitfalls</w:t>
      </w:r>
    </w:p>
    <w:p w14:paraId="7AD88278" w14:textId="77777777" w:rsidR="007E0401" w:rsidRPr="00527854" w:rsidRDefault="00000000">
      <w:pPr>
        <w:pStyle w:val="Compact"/>
        <w:numPr>
          <w:ilvl w:val="0"/>
          <w:numId w:val="13"/>
        </w:numPr>
        <w:rPr>
          <w:rFonts w:ascii="Georgia" w:hAnsi="Georgia"/>
        </w:rPr>
      </w:pPr>
      <w:r w:rsidRPr="00527854">
        <w:rPr>
          <w:rFonts w:ascii="Georgia" w:hAnsi="Georgia"/>
        </w:rPr>
        <w:t xml:space="preserve">Use a true Quarter Date and ensure </w:t>
      </w:r>
      <w:r w:rsidRPr="00527854">
        <w:rPr>
          <w:rFonts w:ascii="Georgia" w:hAnsi="Georgia"/>
          <w:b/>
          <w:bCs/>
        </w:rPr>
        <w:t>chronological</w:t>
      </w:r>
      <w:r w:rsidRPr="00527854">
        <w:rPr>
          <w:rFonts w:ascii="Georgia" w:hAnsi="Georgia"/>
        </w:rPr>
        <w:t xml:space="preserve"> sorting.</w:t>
      </w:r>
      <w:r w:rsidRPr="00527854">
        <w:rPr>
          <w:rFonts w:ascii="Georgia" w:hAnsi="Georgia"/>
        </w:rPr>
        <w:br/>
      </w:r>
    </w:p>
    <w:p w14:paraId="5F123E09" w14:textId="77777777" w:rsidR="007E0401" w:rsidRPr="00527854" w:rsidRDefault="00000000">
      <w:pPr>
        <w:pStyle w:val="Compact"/>
        <w:numPr>
          <w:ilvl w:val="0"/>
          <w:numId w:val="13"/>
        </w:numPr>
        <w:rPr>
          <w:rFonts w:ascii="Georgia" w:hAnsi="Georgia"/>
        </w:rPr>
      </w:pPr>
      <w:r w:rsidRPr="00527854">
        <w:rPr>
          <w:rFonts w:ascii="Georgia" w:hAnsi="Georgia"/>
        </w:rPr>
        <w:t xml:space="preserve">Confirm table calcs are set to </w:t>
      </w:r>
      <w:r w:rsidRPr="00527854">
        <w:rPr>
          <w:rFonts w:ascii="Georgia" w:hAnsi="Georgia"/>
          <w:b/>
          <w:bCs/>
        </w:rPr>
        <w:t>Table (across)</w:t>
      </w:r>
      <w:r w:rsidRPr="00527854">
        <w:rPr>
          <w:rFonts w:ascii="Georgia" w:hAnsi="Georgia"/>
        </w:rPr>
        <w:t xml:space="preserve"> (or Quarter path in the view).</w:t>
      </w:r>
      <w:r w:rsidRPr="00527854">
        <w:rPr>
          <w:rFonts w:ascii="Georgia" w:hAnsi="Georgia"/>
        </w:rPr>
        <w:br/>
      </w:r>
    </w:p>
    <w:p w14:paraId="59E2D6A1" w14:textId="74551E52" w:rsidR="007E0401" w:rsidRPr="00527854" w:rsidRDefault="00000000">
      <w:pPr>
        <w:pStyle w:val="Compact"/>
        <w:numPr>
          <w:ilvl w:val="0"/>
          <w:numId w:val="13"/>
        </w:numPr>
        <w:rPr>
          <w:rFonts w:ascii="Georgia" w:hAnsi="Georgia"/>
        </w:rPr>
      </w:pPr>
      <w:r w:rsidRPr="00527854">
        <w:rPr>
          <w:rFonts w:ascii="Georgia" w:hAnsi="Georgia"/>
        </w:rPr>
        <w:t xml:space="preserve">Remember: filters redefine the computation window for </w:t>
      </w:r>
      <w:r w:rsidR="008831DF" w:rsidRPr="00527854">
        <w:rPr>
          <w:rStyle w:val="VerbatimChar"/>
          <w:rFonts w:ascii="Georgia" w:hAnsi="Georgia"/>
        </w:rPr>
        <w:t>LOOKUP (</w:t>
      </w:r>
      <w:r w:rsidRPr="00527854">
        <w:rPr>
          <w:rStyle w:val="VerbatimChar"/>
          <w:rFonts w:ascii="Georgia" w:hAnsi="Georgia"/>
        </w:rPr>
        <w:t>)</w:t>
      </w:r>
      <w:r w:rsidRPr="00527854">
        <w:rPr>
          <w:rFonts w:ascii="Georgia" w:hAnsi="Georgia"/>
        </w:rPr>
        <w:t xml:space="preserve"> and </w:t>
      </w:r>
      <w:r w:rsidRPr="00527854">
        <w:rPr>
          <w:rStyle w:val="VerbatimChar"/>
          <w:rFonts w:ascii="Georgia" w:hAnsi="Georgia"/>
        </w:rPr>
        <w:t>WINDOW_</w:t>
      </w:r>
      <w:r w:rsidR="008831DF" w:rsidRPr="00527854">
        <w:rPr>
          <w:rStyle w:val="VerbatimChar"/>
          <w:rFonts w:ascii="Georgia" w:hAnsi="Georgia"/>
        </w:rPr>
        <w:t>SUM (</w:t>
      </w:r>
      <w:r w:rsidRPr="00527854">
        <w:rPr>
          <w:rStyle w:val="VerbatimChar"/>
          <w:rFonts w:ascii="Georgia" w:hAnsi="Georgia"/>
        </w:rPr>
        <w:t>)</w:t>
      </w:r>
      <w:r w:rsidRPr="00527854">
        <w:rPr>
          <w:rFonts w:ascii="Georgia" w:hAnsi="Georgia"/>
        </w:rPr>
        <w:t>.</w:t>
      </w:r>
      <w:r w:rsidRPr="00527854">
        <w:rPr>
          <w:rFonts w:ascii="Georgia" w:hAnsi="Georgia"/>
        </w:rPr>
        <w:br/>
      </w:r>
    </w:p>
    <w:p w14:paraId="6E50C5E3" w14:textId="12CB02BB" w:rsidR="007E0401" w:rsidRDefault="00000000">
      <w:pPr>
        <w:pStyle w:val="Compact"/>
        <w:numPr>
          <w:ilvl w:val="0"/>
          <w:numId w:val="13"/>
        </w:numPr>
        <w:rPr>
          <w:rFonts w:ascii="Georgia" w:hAnsi="Georgia"/>
        </w:rPr>
      </w:pPr>
      <w:r w:rsidRPr="00527854">
        <w:rPr>
          <w:rFonts w:ascii="Georgia" w:hAnsi="Georgia"/>
        </w:rPr>
        <w:t>Keep</w:t>
      </w:r>
      <w:r w:rsidR="00527854">
        <w:rPr>
          <w:rFonts w:ascii="Georgia" w:hAnsi="Georgia"/>
        </w:rPr>
        <w:t xml:space="preserve"> in consideration</w:t>
      </w:r>
      <w:r w:rsidRPr="00527854">
        <w:rPr>
          <w:rFonts w:ascii="Georgia" w:hAnsi="Georgia"/>
        </w:rPr>
        <w:t xml:space="preserve"> calendar vs. fiscal definitions consistent across all views</w:t>
      </w:r>
      <w:r w:rsidR="00527854">
        <w:rPr>
          <w:rFonts w:ascii="Georgia" w:hAnsi="Georgia"/>
        </w:rPr>
        <w:t xml:space="preserve"> (in this case I decided to use calendar view as it was easier for me to come with insights</w:t>
      </w:r>
      <w:r w:rsidRPr="00527854">
        <w:rPr>
          <w:rFonts w:ascii="Georgia" w:hAnsi="Georgia"/>
        </w:rPr>
        <w:t>.</w:t>
      </w:r>
      <w:bookmarkEnd w:id="0"/>
      <w:bookmarkEnd w:id="10"/>
    </w:p>
    <w:p w14:paraId="2589C5D1" w14:textId="77777777" w:rsidR="008831DF" w:rsidRDefault="008831DF" w:rsidP="008831DF">
      <w:pPr>
        <w:pStyle w:val="Compact"/>
        <w:rPr>
          <w:rFonts w:ascii="Georgia" w:hAnsi="Georgia"/>
        </w:rPr>
      </w:pPr>
    </w:p>
    <w:p w14:paraId="307CDC2C" w14:textId="77777777" w:rsidR="008831DF" w:rsidRDefault="008831DF" w:rsidP="008831DF">
      <w:pPr>
        <w:pStyle w:val="Compact"/>
        <w:rPr>
          <w:rFonts w:ascii="Georgia" w:hAnsi="Georgia"/>
        </w:rPr>
      </w:pPr>
    </w:p>
    <w:p w14:paraId="38603A5C" w14:textId="77777777" w:rsidR="008831DF" w:rsidRDefault="008831DF" w:rsidP="008831DF">
      <w:pPr>
        <w:pStyle w:val="Compact"/>
        <w:rPr>
          <w:rFonts w:ascii="Georgia" w:hAnsi="Georgia"/>
        </w:rPr>
      </w:pPr>
    </w:p>
    <w:p w14:paraId="22A26F4B" w14:textId="77777777" w:rsidR="008831DF" w:rsidRDefault="008831DF" w:rsidP="008831DF">
      <w:pPr>
        <w:pStyle w:val="Compact"/>
        <w:rPr>
          <w:rFonts w:ascii="Georgia" w:eastAsiaTheme="majorEastAsia" w:hAnsi="Georgia" w:cstheme="majorBidi"/>
          <w:color w:val="0F4761" w:themeColor="accent1" w:themeShade="BF"/>
          <w:sz w:val="32"/>
          <w:szCs w:val="32"/>
        </w:rPr>
      </w:pPr>
    </w:p>
    <w:p w14:paraId="73B6CB2C" w14:textId="77777777" w:rsidR="008831DF" w:rsidRDefault="008831DF" w:rsidP="008831DF">
      <w:pPr>
        <w:pStyle w:val="Compact"/>
        <w:rPr>
          <w:rFonts w:ascii="Georgia" w:eastAsiaTheme="majorEastAsia" w:hAnsi="Georgia" w:cstheme="majorBidi"/>
          <w:color w:val="0F4761" w:themeColor="accent1" w:themeShade="BF"/>
          <w:sz w:val="32"/>
          <w:szCs w:val="32"/>
        </w:rPr>
      </w:pPr>
    </w:p>
    <w:p w14:paraId="1A8E9BFC" w14:textId="77777777" w:rsidR="008831DF" w:rsidRDefault="008831DF" w:rsidP="008831DF">
      <w:pPr>
        <w:pStyle w:val="Compact"/>
        <w:rPr>
          <w:rFonts w:ascii="Georgia" w:eastAsiaTheme="majorEastAsia" w:hAnsi="Georgia" w:cstheme="majorBidi"/>
          <w:color w:val="0F4761" w:themeColor="accent1" w:themeShade="BF"/>
          <w:sz w:val="32"/>
          <w:szCs w:val="32"/>
        </w:rPr>
      </w:pPr>
    </w:p>
    <w:p w14:paraId="461110B3" w14:textId="77777777" w:rsidR="008831DF" w:rsidRDefault="008831DF" w:rsidP="008831DF">
      <w:pPr>
        <w:pStyle w:val="Compact"/>
        <w:rPr>
          <w:rFonts w:ascii="Georgia" w:eastAsiaTheme="majorEastAsia" w:hAnsi="Georgia" w:cstheme="majorBidi"/>
          <w:color w:val="0F4761" w:themeColor="accent1" w:themeShade="BF"/>
          <w:sz w:val="32"/>
          <w:szCs w:val="32"/>
        </w:rPr>
      </w:pPr>
    </w:p>
    <w:p w14:paraId="2070316F" w14:textId="6C02E4D1" w:rsidR="008831DF" w:rsidRDefault="008831DF" w:rsidP="008831DF">
      <w:pPr>
        <w:pStyle w:val="Compact"/>
        <w:rPr>
          <w:rFonts w:ascii="Georgia" w:eastAsiaTheme="majorEastAsia" w:hAnsi="Georgia" w:cstheme="majorBidi"/>
          <w:color w:val="0F4761" w:themeColor="accent1" w:themeShade="BF"/>
          <w:sz w:val="32"/>
          <w:szCs w:val="32"/>
        </w:rPr>
      </w:pPr>
      <w:r w:rsidRPr="008831DF">
        <w:rPr>
          <w:rFonts w:ascii="Georgia" w:eastAsiaTheme="majorEastAsia" w:hAnsi="Georgia" w:cstheme="majorBidi"/>
          <w:color w:val="0F4761" w:themeColor="accent1" w:themeShade="BF"/>
          <w:sz w:val="32"/>
          <w:szCs w:val="32"/>
        </w:rPr>
        <w:lastRenderedPageBreak/>
        <w:t xml:space="preserve">Section III — Learnings </w:t>
      </w:r>
      <w:r>
        <w:rPr>
          <w:rFonts w:ascii="Georgia" w:eastAsiaTheme="majorEastAsia" w:hAnsi="Georgia" w:cstheme="majorBidi"/>
          <w:color w:val="0F4761" w:themeColor="accent1" w:themeShade="BF"/>
          <w:sz w:val="32"/>
          <w:szCs w:val="32"/>
        </w:rPr>
        <w:t xml:space="preserve">- </w:t>
      </w:r>
      <w:r w:rsidRPr="008831DF">
        <w:rPr>
          <w:rFonts w:ascii="Georgia" w:eastAsiaTheme="majorEastAsia" w:hAnsi="Georgia" w:cstheme="majorBidi"/>
          <w:color w:val="0F4761" w:themeColor="accent1" w:themeShade="BF"/>
          <w:sz w:val="32"/>
          <w:szCs w:val="32"/>
        </w:rPr>
        <w:t>Analytics &amp; Business Skills</w:t>
      </w:r>
    </w:p>
    <w:p w14:paraId="67696CEC" w14:textId="77777777" w:rsidR="008831DF" w:rsidRPr="008831DF" w:rsidRDefault="008831DF" w:rsidP="008831DF">
      <w:pPr>
        <w:pStyle w:val="Compact"/>
        <w:rPr>
          <w:rFonts w:ascii="Georgia" w:eastAsiaTheme="majorEastAsia" w:hAnsi="Georgia" w:cstheme="majorBidi"/>
          <w:color w:val="0F4761" w:themeColor="accent1" w:themeShade="BF"/>
          <w:sz w:val="32"/>
          <w:szCs w:val="32"/>
        </w:rPr>
      </w:pPr>
    </w:p>
    <w:p w14:paraId="19313BD9" w14:textId="52849225" w:rsidR="008831DF" w:rsidRPr="008831DF" w:rsidRDefault="008831DF" w:rsidP="008831DF">
      <w:pPr>
        <w:pStyle w:val="Compact"/>
        <w:numPr>
          <w:ilvl w:val="0"/>
          <w:numId w:val="14"/>
        </w:numPr>
        <w:rPr>
          <w:rFonts w:ascii="Georgia" w:hAnsi="Georgia"/>
        </w:rPr>
      </w:pPr>
      <w:r w:rsidRPr="008831DF">
        <w:rPr>
          <w:rFonts w:ascii="Georgia" w:hAnsi="Georgia"/>
          <w:b/>
          <w:bCs/>
        </w:rPr>
        <w:t>KPI design &amp; validation:</w:t>
      </w:r>
      <w:r w:rsidRPr="008831DF">
        <w:rPr>
          <w:rFonts w:ascii="Georgia" w:hAnsi="Georgia"/>
        </w:rPr>
        <w:t xml:space="preserve"> Framed the analysis around </w:t>
      </w:r>
      <w:r w:rsidRPr="008831DF">
        <w:rPr>
          <w:rFonts w:ascii="Georgia" w:hAnsi="Georgia"/>
          <w:i/>
          <w:iCs/>
        </w:rPr>
        <w:t>Cumulative Sales (M)</w:t>
      </w:r>
      <w:r w:rsidRPr="008831DF">
        <w:rPr>
          <w:rFonts w:ascii="Georgia" w:hAnsi="Georgia"/>
        </w:rPr>
        <w:t xml:space="preserve"> with supporting momentum metrics (QoQ, YoY, Rolling 4Q). Verified formulas against Tableau’s table</w:t>
      </w:r>
      <w:r w:rsidRPr="008831DF">
        <w:rPr>
          <w:rFonts w:ascii="Georgia" w:hAnsi="Georgia"/>
        </w:rPr>
        <w:noBreakHyphen/>
        <w:t>calc behavior and ensured chronological addressing.</w:t>
      </w:r>
      <w:r>
        <w:rPr>
          <w:rFonts w:ascii="Georgia" w:hAnsi="Georgia"/>
        </w:rPr>
        <w:br/>
      </w:r>
    </w:p>
    <w:p w14:paraId="10D1BEB0" w14:textId="42E76B4F" w:rsidR="008831DF" w:rsidRPr="008831DF" w:rsidRDefault="008831DF" w:rsidP="008831DF">
      <w:pPr>
        <w:pStyle w:val="Compact"/>
        <w:numPr>
          <w:ilvl w:val="0"/>
          <w:numId w:val="14"/>
        </w:numPr>
        <w:rPr>
          <w:rFonts w:ascii="Georgia" w:hAnsi="Georgia"/>
        </w:rPr>
      </w:pPr>
      <w:r w:rsidRPr="008831DF">
        <w:rPr>
          <w:rFonts w:ascii="Georgia" w:hAnsi="Georgia"/>
          <w:b/>
          <w:bCs/>
        </w:rPr>
        <w:t>Seasonality &amp; lifecycle analysis:</w:t>
      </w:r>
      <w:r w:rsidRPr="008831DF">
        <w:rPr>
          <w:rFonts w:ascii="Georgia" w:hAnsi="Georgia"/>
        </w:rPr>
        <w:t xml:space="preserve"> Interpreted Q4 holiday effects, pandemic</w:t>
      </w:r>
      <w:r w:rsidRPr="008831DF">
        <w:rPr>
          <w:rFonts w:ascii="Georgia" w:hAnsi="Georgia"/>
        </w:rPr>
        <w:noBreakHyphen/>
        <w:t>era anomalies, and late</w:t>
      </w:r>
      <w:r w:rsidRPr="008831DF">
        <w:rPr>
          <w:rFonts w:ascii="Georgia" w:hAnsi="Georgia"/>
        </w:rPr>
        <w:noBreakHyphen/>
        <w:t>cycle normalization through a combination of quarterly bars, YoY, and rolling run</w:t>
      </w:r>
      <w:r w:rsidRPr="008831DF">
        <w:rPr>
          <w:rFonts w:ascii="Georgia" w:hAnsi="Georgia"/>
        </w:rPr>
        <w:noBreakHyphen/>
        <w:t>rate.</w:t>
      </w:r>
      <w:r>
        <w:rPr>
          <w:rFonts w:ascii="Georgia" w:hAnsi="Georgia"/>
        </w:rPr>
        <w:br/>
      </w:r>
    </w:p>
    <w:p w14:paraId="598D2B05" w14:textId="442C2E32" w:rsidR="008831DF" w:rsidRPr="008831DF" w:rsidRDefault="008831DF" w:rsidP="008831DF">
      <w:pPr>
        <w:pStyle w:val="Compact"/>
        <w:numPr>
          <w:ilvl w:val="0"/>
          <w:numId w:val="14"/>
        </w:numPr>
        <w:rPr>
          <w:rFonts w:ascii="Georgia" w:hAnsi="Georgia"/>
        </w:rPr>
      </w:pPr>
      <w:r w:rsidRPr="008831DF">
        <w:rPr>
          <w:rFonts w:ascii="Georgia" w:hAnsi="Georgia"/>
          <w:b/>
          <w:bCs/>
        </w:rPr>
        <w:t>Executive communication:</w:t>
      </w:r>
      <w:r w:rsidRPr="008831DF">
        <w:rPr>
          <w:rFonts w:ascii="Georgia" w:hAnsi="Georgia"/>
        </w:rPr>
        <w:t xml:space="preserve"> Converted findings into concise answers to the five business questions and ordered the dashboard to tell a top</w:t>
      </w:r>
      <w:r w:rsidRPr="008831DF">
        <w:rPr>
          <w:rFonts w:ascii="Georgia" w:hAnsi="Georgia"/>
        </w:rPr>
        <w:noBreakHyphen/>
        <w:t xml:space="preserve">down story (KPI tiles </w:t>
      </w:r>
      <w:r w:rsidRPr="008831DF">
        <w:rPr>
          <w:rFonts w:ascii="Times New Roman" w:hAnsi="Times New Roman" w:cs="Times New Roman"/>
        </w:rPr>
        <w:t>→</w:t>
      </w:r>
      <w:r w:rsidRPr="008831DF">
        <w:rPr>
          <w:rFonts w:ascii="Georgia" w:hAnsi="Georgia"/>
        </w:rPr>
        <w:t xml:space="preserve"> yearly/quarterly </w:t>
      </w:r>
      <w:r w:rsidRPr="008831DF">
        <w:rPr>
          <w:rFonts w:ascii="Times New Roman" w:hAnsi="Times New Roman" w:cs="Times New Roman"/>
        </w:rPr>
        <w:t>→</w:t>
      </w:r>
      <w:r w:rsidRPr="008831DF">
        <w:rPr>
          <w:rFonts w:ascii="Georgia" w:hAnsi="Georgia"/>
        </w:rPr>
        <w:t xml:space="preserve"> cumulative).</w:t>
      </w:r>
      <w:r>
        <w:rPr>
          <w:rFonts w:ascii="Georgia" w:hAnsi="Georgia"/>
        </w:rPr>
        <w:br/>
      </w:r>
    </w:p>
    <w:p w14:paraId="17B84ACA" w14:textId="77777777" w:rsidR="008831DF" w:rsidRPr="008831DF" w:rsidRDefault="008831DF" w:rsidP="008831DF">
      <w:pPr>
        <w:pStyle w:val="Compact"/>
        <w:rPr>
          <w:rFonts w:ascii="Georgia" w:hAnsi="Georgia"/>
          <w:b/>
          <w:bCs/>
        </w:rPr>
      </w:pPr>
      <w:r w:rsidRPr="008831DF">
        <w:rPr>
          <w:rFonts w:ascii="Georgia" w:hAnsi="Georgia"/>
          <w:b/>
          <w:bCs/>
        </w:rPr>
        <w:t>Tableau Skills</w:t>
      </w:r>
    </w:p>
    <w:p w14:paraId="1419F769" w14:textId="430C95AF" w:rsidR="008831DF" w:rsidRPr="008831DF" w:rsidRDefault="008831DF" w:rsidP="008831DF">
      <w:pPr>
        <w:pStyle w:val="Compact"/>
        <w:numPr>
          <w:ilvl w:val="0"/>
          <w:numId w:val="15"/>
        </w:numPr>
        <w:rPr>
          <w:rFonts w:ascii="Georgia" w:hAnsi="Georgia"/>
        </w:rPr>
      </w:pPr>
      <w:r w:rsidRPr="008831DF">
        <w:rPr>
          <w:rFonts w:ascii="Georgia" w:hAnsi="Georgia"/>
          <w:b/>
          <w:bCs/>
        </w:rPr>
        <w:t>Table calculations mastery:</w:t>
      </w:r>
      <w:r w:rsidRPr="008831DF">
        <w:rPr>
          <w:rFonts w:ascii="Georgia" w:hAnsi="Georgia"/>
        </w:rPr>
        <w:t xml:space="preserve"> Implemented and debugged RUNNING_SUM, LOOKUP, and WINDOW_SUM with </w:t>
      </w:r>
      <w:r w:rsidRPr="008831DF">
        <w:rPr>
          <w:rFonts w:ascii="Georgia" w:hAnsi="Georgia"/>
          <w:b/>
          <w:bCs/>
        </w:rPr>
        <w:t>Table (across)</w:t>
      </w:r>
      <w:r w:rsidRPr="008831DF">
        <w:rPr>
          <w:rFonts w:ascii="Georgia" w:hAnsi="Georgia"/>
        </w:rPr>
        <w:t xml:space="preserve"> addressing; confirmed compute</w:t>
      </w:r>
      <w:r w:rsidRPr="008831DF">
        <w:rPr>
          <w:rFonts w:ascii="Georgia" w:hAnsi="Georgia"/>
        </w:rPr>
        <w:noBreakHyphen/>
        <w:t>using and sort order to avoid misalignment.</w:t>
      </w:r>
      <w:r>
        <w:rPr>
          <w:rFonts w:ascii="Georgia" w:hAnsi="Georgia"/>
        </w:rPr>
        <w:br/>
      </w:r>
    </w:p>
    <w:p w14:paraId="43352A52" w14:textId="54D72833" w:rsidR="008831DF" w:rsidRPr="008831DF" w:rsidRDefault="008831DF" w:rsidP="008831DF">
      <w:pPr>
        <w:pStyle w:val="Compact"/>
        <w:numPr>
          <w:ilvl w:val="0"/>
          <w:numId w:val="15"/>
        </w:numPr>
        <w:rPr>
          <w:rFonts w:ascii="Georgia" w:hAnsi="Georgia"/>
        </w:rPr>
      </w:pPr>
      <w:r w:rsidRPr="008831DF">
        <w:rPr>
          <w:rFonts w:ascii="Georgia" w:hAnsi="Georgia"/>
          <w:b/>
          <w:bCs/>
        </w:rPr>
        <w:t>Calculation auditing:</w:t>
      </w:r>
      <w:r w:rsidRPr="008831DF">
        <w:rPr>
          <w:rFonts w:ascii="Georgia" w:hAnsi="Georgia"/>
        </w:rPr>
        <w:t xml:space="preserve"> Matched expressions exactly to the workbook fields (e.g., [Sales M]) and validated outputs against the </w:t>
      </w:r>
      <w:r w:rsidRPr="008831DF">
        <w:rPr>
          <w:rFonts w:ascii="Georgia" w:hAnsi="Georgia"/>
          <w:i/>
          <w:iCs/>
        </w:rPr>
        <w:t>Yearly Sales Growth Rate</w:t>
      </w:r>
      <w:r w:rsidRPr="008831DF">
        <w:rPr>
          <w:rFonts w:ascii="Georgia" w:hAnsi="Georgia"/>
        </w:rPr>
        <w:t xml:space="preserve"> table and the cumulative line endpoint.</w:t>
      </w:r>
      <w:r>
        <w:rPr>
          <w:rFonts w:ascii="Georgia" w:hAnsi="Georgia"/>
        </w:rPr>
        <w:br/>
      </w:r>
    </w:p>
    <w:p w14:paraId="69A567F3" w14:textId="5D2E0D42" w:rsidR="008831DF" w:rsidRPr="008831DF" w:rsidRDefault="008831DF" w:rsidP="008831DF">
      <w:pPr>
        <w:pStyle w:val="Compact"/>
        <w:numPr>
          <w:ilvl w:val="0"/>
          <w:numId w:val="15"/>
        </w:numPr>
        <w:rPr>
          <w:rFonts w:ascii="Georgia" w:hAnsi="Georgia"/>
        </w:rPr>
      </w:pPr>
      <w:r w:rsidRPr="008831DF">
        <w:rPr>
          <w:rFonts w:ascii="Georgia" w:hAnsi="Georgia"/>
          <w:b/>
          <w:bCs/>
        </w:rPr>
        <w:t>Milestone and readability design:</w:t>
      </w:r>
      <w:r w:rsidRPr="008831DF">
        <w:rPr>
          <w:rFonts w:ascii="Georgia" w:hAnsi="Georgia"/>
        </w:rPr>
        <w:t xml:space="preserve"> Added milestone annotations (50M/100M/150M) on the cumulative line and configured labels/tooltips for year/quarter comparisons.</w:t>
      </w:r>
      <w:r>
        <w:rPr>
          <w:rFonts w:ascii="Georgia" w:hAnsi="Georgia"/>
        </w:rPr>
        <w:br/>
      </w:r>
    </w:p>
    <w:p w14:paraId="0991BF28" w14:textId="00792FFF" w:rsidR="008831DF" w:rsidRPr="008831DF" w:rsidRDefault="008831DF" w:rsidP="008831DF">
      <w:pPr>
        <w:pStyle w:val="Compact"/>
        <w:numPr>
          <w:ilvl w:val="0"/>
          <w:numId w:val="15"/>
        </w:numPr>
        <w:rPr>
          <w:rFonts w:ascii="Georgia" w:hAnsi="Georgia"/>
        </w:rPr>
      </w:pPr>
      <w:r w:rsidRPr="008831DF">
        <w:rPr>
          <w:rFonts w:ascii="Georgia" w:hAnsi="Georgia"/>
          <w:b/>
          <w:bCs/>
        </w:rPr>
        <w:t>Dashboard composition:</w:t>
      </w:r>
      <w:r w:rsidRPr="008831DF">
        <w:rPr>
          <w:rFonts w:ascii="Georgia" w:hAnsi="Georgia"/>
        </w:rPr>
        <w:t xml:space="preserve"> Balanced multiple views (KPI, yearly peaks, best quarters, regional totals, cumulative line) with filters and legends while preserving a coherent reading order.</w:t>
      </w:r>
      <w:r>
        <w:rPr>
          <w:rFonts w:ascii="Georgia" w:hAnsi="Georgia"/>
        </w:rPr>
        <w:br/>
      </w:r>
    </w:p>
    <w:p w14:paraId="375F07E5" w14:textId="2B787AD2" w:rsidR="008831DF" w:rsidRPr="008831DF" w:rsidRDefault="008831DF" w:rsidP="008831DF">
      <w:pPr>
        <w:pStyle w:val="Compact"/>
        <w:rPr>
          <w:rFonts w:ascii="Georgia" w:hAnsi="Georgia"/>
          <w:b/>
          <w:bCs/>
        </w:rPr>
      </w:pPr>
      <w:r w:rsidRPr="008831DF">
        <w:rPr>
          <w:rFonts w:ascii="Georgia" w:hAnsi="Georgia"/>
          <w:b/>
          <w:bCs/>
        </w:rPr>
        <w:t xml:space="preserve">Excel Data Cleaning </w:t>
      </w:r>
    </w:p>
    <w:p w14:paraId="53BEB608" w14:textId="77777777" w:rsidR="008831DF" w:rsidRPr="008831DF" w:rsidRDefault="008831DF" w:rsidP="008831DF">
      <w:pPr>
        <w:pStyle w:val="Compact"/>
        <w:numPr>
          <w:ilvl w:val="0"/>
          <w:numId w:val="16"/>
        </w:numPr>
        <w:rPr>
          <w:rFonts w:ascii="Georgia" w:hAnsi="Georgia"/>
        </w:rPr>
      </w:pPr>
      <w:r w:rsidRPr="008831DF">
        <w:rPr>
          <w:rFonts w:ascii="Georgia" w:hAnsi="Georgia"/>
          <w:b/>
          <w:bCs/>
        </w:rPr>
        <w:t>Source consolidation &amp; schema alignment:</w:t>
      </w:r>
      <w:r w:rsidRPr="008831DF">
        <w:rPr>
          <w:rFonts w:ascii="Georgia" w:hAnsi="Georgia"/>
        </w:rPr>
        <w:t xml:space="preserve"> Combined multiple raw sheets/exports; standardized column names, units (millions), and region labels (Americas/Europe/Japan/Other).</w:t>
      </w:r>
    </w:p>
    <w:p w14:paraId="565A2294" w14:textId="10F60FF2" w:rsidR="008831DF" w:rsidRPr="008831DF" w:rsidRDefault="008831DF" w:rsidP="008831DF">
      <w:pPr>
        <w:pStyle w:val="Compact"/>
        <w:numPr>
          <w:ilvl w:val="0"/>
          <w:numId w:val="16"/>
        </w:numPr>
        <w:rPr>
          <w:rFonts w:ascii="Georgia" w:hAnsi="Georgia"/>
        </w:rPr>
      </w:pPr>
      <w:r w:rsidRPr="008831DF">
        <w:rPr>
          <w:rFonts w:ascii="Georgia" w:hAnsi="Georgia"/>
          <w:b/>
          <w:bCs/>
        </w:rPr>
        <w:t>Date normalization:</w:t>
      </w:r>
      <w:r w:rsidRPr="008831DF">
        <w:rPr>
          <w:rFonts w:ascii="Georgia" w:hAnsi="Georgia"/>
        </w:rPr>
        <w:t xml:space="preserve"> Converted disparate date formats to a canonical </w:t>
      </w:r>
      <w:r w:rsidRPr="008831DF">
        <w:rPr>
          <w:rFonts w:ascii="Georgia" w:hAnsi="Georgia"/>
          <w:b/>
          <w:bCs/>
        </w:rPr>
        <w:t>Quarter End Date</w:t>
      </w:r>
      <w:r w:rsidRPr="008831DF">
        <w:rPr>
          <w:rFonts w:ascii="Georgia" w:hAnsi="Georgia"/>
        </w:rPr>
        <w:t>; generated helper fields for Year, Quarter, and Year</w:t>
      </w:r>
      <w:r w:rsidRPr="008831DF">
        <w:rPr>
          <w:rFonts w:ascii="Georgia" w:hAnsi="Georgia"/>
        </w:rPr>
        <w:noBreakHyphen/>
        <w:t>Quarter keys used by Tableau.</w:t>
      </w:r>
      <w:r>
        <w:rPr>
          <w:rFonts w:ascii="Georgia" w:hAnsi="Georgia"/>
        </w:rPr>
        <w:br/>
      </w:r>
    </w:p>
    <w:p w14:paraId="5AED6127" w14:textId="4ACE7DB9" w:rsidR="008831DF" w:rsidRPr="008831DF" w:rsidRDefault="008831DF" w:rsidP="008831DF">
      <w:pPr>
        <w:pStyle w:val="Compact"/>
        <w:numPr>
          <w:ilvl w:val="0"/>
          <w:numId w:val="16"/>
        </w:numPr>
        <w:rPr>
          <w:rFonts w:ascii="Georgia" w:hAnsi="Georgia"/>
        </w:rPr>
      </w:pPr>
      <w:r w:rsidRPr="008831DF">
        <w:rPr>
          <w:rFonts w:ascii="Georgia" w:hAnsi="Georgia"/>
          <w:b/>
          <w:bCs/>
        </w:rPr>
        <w:t>Type fixing &amp; null handling:</w:t>
      </w:r>
      <w:r w:rsidRPr="008831DF">
        <w:rPr>
          <w:rFonts w:ascii="Georgia" w:hAnsi="Georgia"/>
        </w:rPr>
        <w:t xml:space="preserve"> Coerced numeric types, surfaced and treated null/zero edge cases to prevent divide</w:t>
      </w:r>
      <w:r w:rsidRPr="008831DF">
        <w:rPr>
          <w:rFonts w:ascii="Georgia" w:hAnsi="Georgia"/>
        </w:rPr>
        <w:noBreakHyphen/>
        <w:t>by</w:t>
      </w:r>
      <w:r w:rsidRPr="008831DF">
        <w:rPr>
          <w:rFonts w:ascii="Georgia" w:hAnsi="Georgia"/>
        </w:rPr>
        <w:noBreakHyphen/>
        <w:t>zero in QoQ/YoY.</w:t>
      </w:r>
      <w:r>
        <w:rPr>
          <w:rFonts w:ascii="Georgia" w:hAnsi="Georgia"/>
        </w:rPr>
        <w:br/>
      </w:r>
    </w:p>
    <w:p w14:paraId="5FB509C1" w14:textId="6EB9EEA2" w:rsidR="008831DF" w:rsidRPr="008831DF" w:rsidRDefault="008831DF" w:rsidP="008831DF">
      <w:pPr>
        <w:pStyle w:val="Compact"/>
        <w:numPr>
          <w:ilvl w:val="0"/>
          <w:numId w:val="16"/>
        </w:numPr>
        <w:rPr>
          <w:rFonts w:ascii="Georgia" w:hAnsi="Georgia"/>
        </w:rPr>
      </w:pPr>
      <w:r w:rsidRPr="008831DF">
        <w:rPr>
          <w:rFonts w:ascii="Georgia" w:hAnsi="Georgia"/>
          <w:b/>
          <w:bCs/>
        </w:rPr>
        <w:lastRenderedPageBreak/>
        <w:t>De</w:t>
      </w:r>
      <w:r w:rsidRPr="008831DF">
        <w:rPr>
          <w:rFonts w:ascii="Georgia" w:hAnsi="Georgia"/>
          <w:b/>
          <w:bCs/>
        </w:rPr>
        <w:noBreakHyphen/>
        <w:t>duplication &amp; integrity checks:</w:t>
      </w:r>
      <w:r w:rsidRPr="008831DF">
        <w:rPr>
          <w:rFonts w:ascii="Georgia" w:hAnsi="Georgia"/>
        </w:rPr>
        <w:t xml:space="preserve"> Removed duplicate records, reconciled overlapping entries, and ran tie</w:t>
      </w:r>
      <w:r w:rsidRPr="008831DF">
        <w:rPr>
          <w:rFonts w:ascii="Georgia" w:hAnsi="Georgia"/>
        </w:rPr>
        <w:noBreakHyphen/>
        <w:t>outs vs. official totals where available.</w:t>
      </w:r>
      <w:r>
        <w:rPr>
          <w:rFonts w:ascii="Georgia" w:hAnsi="Georgia"/>
        </w:rPr>
        <w:br/>
      </w:r>
    </w:p>
    <w:p w14:paraId="3F44233B" w14:textId="6E04A12E" w:rsidR="008831DF" w:rsidRPr="008831DF" w:rsidRDefault="008831DF" w:rsidP="008831DF">
      <w:pPr>
        <w:pStyle w:val="Compact"/>
        <w:numPr>
          <w:ilvl w:val="0"/>
          <w:numId w:val="16"/>
        </w:numPr>
        <w:rPr>
          <w:rFonts w:ascii="Georgia" w:hAnsi="Georgia"/>
        </w:rPr>
      </w:pPr>
      <w:r w:rsidRPr="008831DF">
        <w:rPr>
          <w:rFonts w:ascii="Georgia" w:hAnsi="Georgia"/>
          <w:b/>
          <w:bCs/>
        </w:rPr>
        <w:t>Reshaping for analysis:</w:t>
      </w:r>
      <w:r w:rsidRPr="008831DF">
        <w:rPr>
          <w:rFonts w:ascii="Georgia" w:hAnsi="Georgia"/>
        </w:rPr>
        <w:t xml:space="preserve"> Built clean </w:t>
      </w:r>
      <w:proofErr w:type="spellStart"/>
      <w:r w:rsidRPr="008831DF">
        <w:rPr>
          <w:rFonts w:ascii="Georgia" w:hAnsi="Georgia"/>
        </w:rPr>
        <w:t>wide</w:t>
      </w:r>
      <w:r w:rsidRPr="008831DF">
        <w:rPr>
          <w:rFonts w:ascii="Times New Roman" w:hAnsi="Times New Roman" w:cs="Times New Roman"/>
        </w:rPr>
        <w:t>→</w:t>
      </w:r>
      <w:r w:rsidRPr="008831DF">
        <w:rPr>
          <w:rFonts w:ascii="Georgia" w:hAnsi="Georgia"/>
        </w:rPr>
        <w:t>long</w:t>
      </w:r>
      <w:proofErr w:type="spellEnd"/>
      <w:r w:rsidRPr="008831DF">
        <w:rPr>
          <w:rFonts w:ascii="Georgia" w:hAnsi="Georgia"/>
        </w:rPr>
        <w:t xml:space="preserve"> transformations for region splits; created pivot tables to validate quarterly sums and match Tableau aggregates.</w:t>
      </w:r>
      <w:r>
        <w:rPr>
          <w:rFonts w:ascii="Georgia" w:hAnsi="Georgia"/>
        </w:rPr>
        <w:br/>
      </w:r>
    </w:p>
    <w:p w14:paraId="34085A69" w14:textId="311B009F" w:rsidR="008831DF" w:rsidRPr="008831DF" w:rsidRDefault="008831DF" w:rsidP="008831DF">
      <w:pPr>
        <w:pStyle w:val="Compact"/>
        <w:numPr>
          <w:ilvl w:val="0"/>
          <w:numId w:val="16"/>
        </w:numPr>
        <w:rPr>
          <w:rFonts w:ascii="Georgia" w:hAnsi="Georgia"/>
        </w:rPr>
      </w:pPr>
      <w:r w:rsidRPr="008831DF">
        <w:rPr>
          <w:rFonts w:ascii="Georgia" w:hAnsi="Georgia"/>
          <w:b/>
          <w:bCs/>
        </w:rPr>
        <w:t>Documentation &amp; versioning:</w:t>
      </w:r>
      <w:r w:rsidRPr="008831DF">
        <w:rPr>
          <w:rFonts w:ascii="Georgia" w:hAnsi="Georgia"/>
        </w:rPr>
        <w:t xml:space="preserve"> Kept a change log (columns added/renamed, filters applied) so the workbook is reproducible.</w:t>
      </w:r>
      <w:r>
        <w:rPr>
          <w:rFonts w:ascii="Georgia" w:hAnsi="Georgia"/>
        </w:rPr>
        <w:br/>
      </w:r>
      <w:r>
        <w:rPr>
          <w:rFonts w:ascii="Georgia" w:hAnsi="Georgia"/>
        </w:rPr>
        <w:br/>
      </w:r>
      <w:r>
        <w:rPr>
          <w:rFonts w:ascii="Georgia" w:hAnsi="Georgia"/>
        </w:rPr>
        <w:br/>
      </w:r>
    </w:p>
    <w:p w14:paraId="3F814F07" w14:textId="2448ED7F" w:rsidR="008831DF" w:rsidRPr="008831DF" w:rsidRDefault="008831DF" w:rsidP="008831DF">
      <w:pPr>
        <w:pStyle w:val="Compact"/>
        <w:rPr>
          <w:rFonts w:ascii="Georgia" w:hAnsi="Georgia"/>
          <w:b/>
          <w:bCs/>
        </w:rPr>
      </w:pPr>
      <w:r w:rsidRPr="008831DF">
        <w:rPr>
          <w:rFonts w:ascii="Georgia" w:hAnsi="Georgia"/>
          <w:b/>
          <w:bCs/>
        </w:rPr>
        <w:t xml:space="preserve">What </w:t>
      </w:r>
      <w:r w:rsidRPr="008831DF">
        <w:rPr>
          <w:rFonts w:ascii="Georgia" w:hAnsi="Georgia"/>
          <w:b/>
          <w:bCs/>
        </w:rPr>
        <w:t>I’d Like to</w:t>
      </w:r>
      <w:r w:rsidRPr="008831DF">
        <w:rPr>
          <w:rFonts w:ascii="Georgia" w:hAnsi="Georgia"/>
          <w:b/>
          <w:bCs/>
        </w:rPr>
        <w:t xml:space="preserve"> Improve Next</w:t>
      </w:r>
    </w:p>
    <w:p w14:paraId="5EC1940F" w14:textId="77777777" w:rsidR="008831DF" w:rsidRPr="008831DF" w:rsidRDefault="008831DF" w:rsidP="008831DF">
      <w:pPr>
        <w:pStyle w:val="Compact"/>
        <w:numPr>
          <w:ilvl w:val="0"/>
          <w:numId w:val="17"/>
        </w:numPr>
        <w:rPr>
          <w:rFonts w:ascii="Georgia" w:hAnsi="Georgia"/>
        </w:rPr>
      </w:pPr>
      <w:r w:rsidRPr="008831DF">
        <w:rPr>
          <w:rFonts w:ascii="Georgia" w:hAnsi="Georgia"/>
        </w:rPr>
        <w:t xml:space="preserve">Parameterize a </w:t>
      </w:r>
      <w:r w:rsidRPr="008831DF">
        <w:rPr>
          <w:rFonts w:ascii="Georgia" w:hAnsi="Georgia"/>
          <w:b/>
          <w:bCs/>
        </w:rPr>
        <w:t>Date Range</w:t>
      </w:r>
      <w:r w:rsidRPr="008831DF">
        <w:rPr>
          <w:rFonts w:ascii="Georgia" w:hAnsi="Georgia"/>
        </w:rPr>
        <w:t xml:space="preserve"> and </w:t>
      </w:r>
      <w:r w:rsidRPr="008831DF">
        <w:rPr>
          <w:rFonts w:ascii="Georgia" w:hAnsi="Georgia"/>
          <w:b/>
          <w:bCs/>
        </w:rPr>
        <w:t>Granularity</w:t>
      </w:r>
      <w:r w:rsidRPr="008831DF">
        <w:rPr>
          <w:rFonts w:ascii="Georgia" w:hAnsi="Georgia"/>
        </w:rPr>
        <w:t xml:space="preserve"> toggle (Quarter/Year) for flexible views.</w:t>
      </w:r>
    </w:p>
    <w:p w14:paraId="4359FF75" w14:textId="77777777" w:rsidR="008831DF" w:rsidRDefault="008831DF" w:rsidP="008831DF">
      <w:pPr>
        <w:pStyle w:val="Compact"/>
        <w:numPr>
          <w:ilvl w:val="0"/>
          <w:numId w:val="17"/>
        </w:numPr>
        <w:rPr>
          <w:rFonts w:ascii="Georgia" w:hAnsi="Georgia"/>
        </w:rPr>
      </w:pPr>
      <w:r w:rsidRPr="008831DF">
        <w:rPr>
          <w:rFonts w:ascii="Georgia" w:hAnsi="Georgia"/>
        </w:rPr>
        <w:t xml:space="preserve">Add a compact </w:t>
      </w:r>
      <w:r w:rsidRPr="008831DF">
        <w:rPr>
          <w:rFonts w:ascii="Georgia" w:hAnsi="Georgia"/>
          <w:b/>
          <w:bCs/>
        </w:rPr>
        <w:t>methodology</w:t>
      </w:r>
      <w:r w:rsidRPr="008831DF">
        <w:rPr>
          <w:rFonts w:ascii="Georgia" w:hAnsi="Georgia"/>
        </w:rPr>
        <w:t xml:space="preserve"> note on the dashboard describing data cleaning steps and calc logic for reviewers.</w:t>
      </w:r>
    </w:p>
    <w:p w14:paraId="4C5EBD38" w14:textId="07075857" w:rsidR="008831DF" w:rsidRDefault="008831DF" w:rsidP="008831DF">
      <w:pPr>
        <w:pStyle w:val="Compact"/>
        <w:numPr>
          <w:ilvl w:val="0"/>
          <w:numId w:val="17"/>
        </w:numPr>
        <w:rPr>
          <w:rFonts w:ascii="Georgia" w:hAnsi="Georgia"/>
        </w:rPr>
      </w:pPr>
      <w:r>
        <w:rPr>
          <w:rFonts w:ascii="Georgia" w:hAnsi="Georgia"/>
        </w:rPr>
        <w:t>Use the Fiscal year as the calendar view for the table.</w:t>
      </w:r>
    </w:p>
    <w:p w14:paraId="60CBBA6D" w14:textId="645FA43A" w:rsidR="008831DF" w:rsidRPr="008831DF" w:rsidRDefault="008831DF" w:rsidP="008831DF">
      <w:pPr>
        <w:pStyle w:val="Compact"/>
        <w:numPr>
          <w:ilvl w:val="0"/>
          <w:numId w:val="17"/>
        </w:numPr>
        <w:rPr>
          <w:rFonts w:ascii="Georgia" w:hAnsi="Georgia"/>
        </w:rPr>
      </w:pPr>
      <w:r>
        <w:rPr>
          <w:rFonts w:ascii="Georgia" w:hAnsi="Georgia"/>
        </w:rPr>
        <w:t xml:space="preserve">Add more flare to the dashboard and colors that can resemble Nintendo. </w:t>
      </w:r>
    </w:p>
    <w:p w14:paraId="7B756719" w14:textId="77777777" w:rsidR="008831DF" w:rsidRPr="00527854" w:rsidRDefault="008831DF" w:rsidP="008831DF">
      <w:pPr>
        <w:pStyle w:val="Compact"/>
        <w:rPr>
          <w:rFonts w:ascii="Georgia" w:hAnsi="Georgia"/>
        </w:rPr>
      </w:pPr>
    </w:p>
    <w:sectPr w:rsidR="008831DF" w:rsidRPr="00527854">
      <w:headerReference w:type="default" r:id="rId7"/>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A75A4" w14:textId="77777777" w:rsidR="006C5912" w:rsidRDefault="006C5912" w:rsidP="00C26754">
      <w:pPr>
        <w:spacing w:after="0"/>
      </w:pPr>
      <w:r>
        <w:separator/>
      </w:r>
    </w:p>
  </w:endnote>
  <w:endnote w:type="continuationSeparator" w:id="0">
    <w:p w14:paraId="449D5BEC" w14:textId="77777777" w:rsidR="006C5912" w:rsidRDefault="006C5912" w:rsidP="00C267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3545A" w14:textId="77777777" w:rsidR="006C5912" w:rsidRDefault="006C5912" w:rsidP="00C26754">
      <w:pPr>
        <w:spacing w:after="0"/>
      </w:pPr>
      <w:r>
        <w:separator/>
      </w:r>
    </w:p>
  </w:footnote>
  <w:footnote w:type="continuationSeparator" w:id="0">
    <w:p w14:paraId="09C22D20" w14:textId="77777777" w:rsidR="006C5912" w:rsidRDefault="006C5912" w:rsidP="00C267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C7498" w14:textId="3A82A63A" w:rsidR="00C26754" w:rsidRDefault="00C26754" w:rsidP="00C26754">
    <w:pPr>
      <w:pStyle w:val="Header"/>
      <w:jc w:val="right"/>
    </w:pPr>
  </w:p>
  <w:p w14:paraId="490F77EF" w14:textId="77777777" w:rsidR="00C26754" w:rsidRDefault="00C26754" w:rsidP="00C2675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644A9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B8689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DB4CAB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6B77427"/>
    <w:multiLevelType w:val="multilevel"/>
    <w:tmpl w:val="7EEE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14C70"/>
    <w:multiLevelType w:val="multilevel"/>
    <w:tmpl w:val="44D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F0782"/>
    <w:multiLevelType w:val="multilevel"/>
    <w:tmpl w:val="83F0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A5574"/>
    <w:multiLevelType w:val="multilevel"/>
    <w:tmpl w:val="2DAE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279941">
    <w:abstractNumId w:val="0"/>
  </w:num>
  <w:num w:numId="2" w16cid:durableId="1217619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3013844">
    <w:abstractNumId w:val="1"/>
  </w:num>
  <w:num w:numId="4" w16cid:durableId="568810569">
    <w:abstractNumId w:val="1"/>
  </w:num>
  <w:num w:numId="5" w16cid:durableId="250235888">
    <w:abstractNumId w:val="1"/>
  </w:num>
  <w:num w:numId="6" w16cid:durableId="2113931272">
    <w:abstractNumId w:val="1"/>
  </w:num>
  <w:num w:numId="7" w16cid:durableId="992829372">
    <w:abstractNumId w:val="1"/>
  </w:num>
  <w:num w:numId="8" w16cid:durableId="1690526362">
    <w:abstractNumId w:val="1"/>
  </w:num>
  <w:num w:numId="9" w16cid:durableId="1526017461">
    <w:abstractNumId w:val="1"/>
  </w:num>
  <w:num w:numId="10" w16cid:durableId="538471502">
    <w:abstractNumId w:val="1"/>
  </w:num>
  <w:num w:numId="11" w16cid:durableId="1104110129">
    <w:abstractNumId w:val="1"/>
  </w:num>
  <w:num w:numId="12" w16cid:durableId="382028587">
    <w:abstractNumId w:val="1"/>
  </w:num>
  <w:num w:numId="13" w16cid:durableId="512108331">
    <w:abstractNumId w:val="1"/>
  </w:num>
  <w:num w:numId="14" w16cid:durableId="886724893">
    <w:abstractNumId w:val="4"/>
  </w:num>
  <w:num w:numId="15" w16cid:durableId="249121609">
    <w:abstractNumId w:val="5"/>
  </w:num>
  <w:num w:numId="16" w16cid:durableId="1901093109">
    <w:abstractNumId w:val="6"/>
  </w:num>
  <w:num w:numId="17" w16cid:durableId="2106532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0401"/>
    <w:rsid w:val="00024347"/>
    <w:rsid w:val="004E422B"/>
    <w:rsid w:val="00527854"/>
    <w:rsid w:val="006C5912"/>
    <w:rsid w:val="007E0401"/>
    <w:rsid w:val="008831DF"/>
    <w:rsid w:val="00A00227"/>
    <w:rsid w:val="00C26754"/>
    <w:rsid w:val="00FA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CAD0"/>
  <w15:docId w15:val="{436900E5-AE20-4556-9D02-3578AF9D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26754"/>
    <w:pPr>
      <w:tabs>
        <w:tab w:val="center" w:pos="4680"/>
        <w:tab w:val="right" w:pos="9360"/>
      </w:tabs>
      <w:spacing w:after="0"/>
    </w:pPr>
  </w:style>
  <w:style w:type="character" w:customStyle="1" w:styleId="HeaderChar">
    <w:name w:val="Header Char"/>
    <w:basedOn w:val="DefaultParagraphFont"/>
    <w:link w:val="Header"/>
    <w:rsid w:val="00C26754"/>
  </w:style>
  <w:style w:type="paragraph" w:styleId="Footer">
    <w:name w:val="footer"/>
    <w:basedOn w:val="Normal"/>
    <w:link w:val="FooterChar"/>
    <w:rsid w:val="00C26754"/>
    <w:pPr>
      <w:tabs>
        <w:tab w:val="center" w:pos="4680"/>
        <w:tab w:val="right" w:pos="9360"/>
      </w:tabs>
      <w:spacing w:after="0"/>
    </w:pPr>
  </w:style>
  <w:style w:type="character" w:customStyle="1" w:styleId="FooterChar">
    <w:name w:val="Footer Char"/>
    <w:basedOn w:val="DefaultParagraphFont"/>
    <w:link w:val="Footer"/>
    <w:rsid w:val="00C26754"/>
  </w:style>
  <w:style w:type="paragraph" w:styleId="ListParagraph">
    <w:name w:val="List Paragraph"/>
    <w:basedOn w:val="Normal"/>
    <w:rsid w:val="0088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Hector Enriquez</cp:lastModifiedBy>
  <cp:revision>5</cp:revision>
  <dcterms:created xsi:type="dcterms:W3CDTF">2025-08-25T09:25:00Z</dcterms:created>
  <dcterms:modified xsi:type="dcterms:W3CDTF">2025-08-25T09:43:00Z</dcterms:modified>
</cp:coreProperties>
</file>