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4CFD472" w14:textId="40D2BB34" w:rsidR="18950525" w:rsidRDefault="18950525" w:rsidP="18950525">
      <w:pPr>
        <w:spacing w:line="240" w:lineRule="auto"/>
        <w:rPr>
          <w:rFonts w:ascii="Times New Roman" w:eastAsia="Times New Roman" w:hAnsi="Times New Roman" w:cs="Times New Roman"/>
          <w:b/>
          <w:bCs/>
          <w:sz w:val="24"/>
          <w:szCs w:val="24"/>
        </w:rPr>
      </w:pPr>
    </w:p>
    <w:p w14:paraId="00000026" w14:textId="77777777" w:rsidR="00273BEE" w:rsidRDefault="18950525" w:rsidP="18950525">
      <w:pPr>
        <w:pStyle w:val="Ttulo2"/>
        <w:keepNext w:val="0"/>
        <w:keepLines w:val="0"/>
        <w:widowControl w:val="0"/>
        <w:spacing w:before="0" w:after="0" w:line="360" w:lineRule="auto"/>
        <w:jc w:val="center"/>
        <w:rPr>
          <w:rFonts w:ascii="Times New Roman" w:eastAsia="Times New Roman" w:hAnsi="Times New Roman" w:cs="Times New Roman"/>
          <w:b/>
          <w:bCs/>
          <w:color w:val="1F1F1F"/>
          <w:sz w:val="24"/>
          <w:szCs w:val="24"/>
        </w:rPr>
      </w:pPr>
      <w:bookmarkStart w:id="0" w:name="_heading=h.vdoriqj3elnp"/>
      <w:bookmarkEnd w:id="0"/>
      <w:r w:rsidRPr="18950525">
        <w:rPr>
          <w:rFonts w:ascii="Times New Roman" w:eastAsia="Times New Roman" w:hAnsi="Times New Roman" w:cs="Times New Roman"/>
          <w:b/>
          <w:bCs/>
          <w:color w:val="1F1F1F"/>
          <w:sz w:val="24"/>
          <w:szCs w:val="24"/>
        </w:rPr>
        <w:t>INFORME PSICOLÓGICO</w:t>
      </w:r>
    </w:p>
    <w:p w14:paraId="00000027" w14:textId="77777777" w:rsidR="00273BEE" w:rsidRDefault="00273BEE" w:rsidP="18950525">
      <w:pPr>
        <w:spacing w:line="360" w:lineRule="auto"/>
        <w:rPr>
          <w:rFonts w:ascii="Times New Roman" w:eastAsia="Times New Roman" w:hAnsi="Times New Roman" w:cs="Times New Roman"/>
        </w:rPr>
      </w:pPr>
    </w:p>
    <w:p w14:paraId="00000029" w14:textId="4A61C90E" w:rsidR="00273BEE" w:rsidRDefault="18950525" w:rsidP="18950525">
      <w:pPr>
        <w:numPr>
          <w:ilvl w:val="0"/>
          <w:numId w:val="5"/>
        </w:numPr>
        <w:spacing w:line="360" w:lineRule="auto"/>
        <w:jc w:val="both"/>
        <w:rPr>
          <w:rFonts w:ascii="Times New Roman" w:eastAsia="Times New Roman" w:hAnsi="Times New Roman" w:cs="Times New Roman"/>
          <w:b/>
          <w:bCs/>
          <w:sz w:val="24"/>
          <w:szCs w:val="24"/>
        </w:rPr>
      </w:pPr>
      <w:r w:rsidRPr="18950525">
        <w:rPr>
          <w:rFonts w:ascii="Times New Roman" w:eastAsia="Times New Roman" w:hAnsi="Times New Roman" w:cs="Times New Roman"/>
          <w:b/>
          <w:bCs/>
          <w:sz w:val="24"/>
          <w:szCs w:val="24"/>
        </w:rPr>
        <w:t>Datos generales</w:t>
      </w:r>
    </w:p>
    <w:p w14:paraId="0000002A" w14:textId="77777777" w:rsidR="00273BEE" w:rsidRDefault="00000000">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Nombre: </w:t>
      </w:r>
      <w:r>
        <w:rPr>
          <w:rFonts w:ascii="Times New Roman" w:eastAsia="Times New Roman" w:hAnsi="Times New Roman" w:cs="Times New Roman"/>
          <w:sz w:val="24"/>
          <w:szCs w:val="24"/>
        </w:rPr>
        <w:t>Florcita</w:t>
      </w:r>
    </w:p>
    <w:p w14:paraId="0000002B" w14:textId="77777777" w:rsidR="00273BEE" w:rsidRDefault="00000000">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Sexo:</w:t>
      </w:r>
      <w:r>
        <w:rPr>
          <w:rFonts w:ascii="Times New Roman" w:eastAsia="Times New Roman" w:hAnsi="Times New Roman" w:cs="Times New Roman"/>
          <w:sz w:val="24"/>
          <w:szCs w:val="24"/>
        </w:rPr>
        <w:t xml:space="preserve"> Femenino.</w:t>
      </w:r>
    </w:p>
    <w:p w14:paraId="0000002C" w14:textId="77777777" w:rsidR="00273BEE" w:rsidRDefault="00000000">
      <w:pPr>
        <w:numPr>
          <w:ilvl w:val="0"/>
          <w:numId w:val="2"/>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4"/>
          <w:szCs w:val="24"/>
        </w:rPr>
        <w:t>Edad:</w:t>
      </w:r>
      <w:r>
        <w:rPr>
          <w:rFonts w:ascii="Times New Roman" w:eastAsia="Times New Roman" w:hAnsi="Times New Roman" w:cs="Times New Roman"/>
          <w:sz w:val="24"/>
          <w:szCs w:val="24"/>
        </w:rPr>
        <w:t xml:space="preserve"> 65 años</w:t>
      </w:r>
      <w:r>
        <w:rPr>
          <w:rFonts w:ascii="Times New Roman" w:eastAsia="Times New Roman" w:hAnsi="Times New Roman" w:cs="Times New Roman"/>
          <w:sz w:val="28"/>
          <w:szCs w:val="28"/>
        </w:rPr>
        <w:t>.</w:t>
      </w:r>
    </w:p>
    <w:p w14:paraId="0000002D" w14:textId="77777777" w:rsidR="00273BEE" w:rsidRDefault="00000000">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Estado civil:</w:t>
      </w:r>
      <w:r>
        <w:rPr>
          <w:rFonts w:ascii="Times New Roman" w:eastAsia="Times New Roman" w:hAnsi="Times New Roman" w:cs="Times New Roman"/>
          <w:sz w:val="24"/>
          <w:szCs w:val="24"/>
        </w:rPr>
        <w:t xml:space="preserve"> Casada.</w:t>
      </w:r>
    </w:p>
    <w:p w14:paraId="0000002E" w14:textId="77777777" w:rsidR="00273BEE" w:rsidRDefault="00000000">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Fecha de nacimiento:</w:t>
      </w:r>
      <w:r>
        <w:rPr>
          <w:rFonts w:ascii="Times New Roman" w:eastAsia="Times New Roman" w:hAnsi="Times New Roman" w:cs="Times New Roman"/>
          <w:sz w:val="24"/>
          <w:szCs w:val="24"/>
        </w:rPr>
        <w:t xml:space="preserve"> 31-01</w:t>
      </w:r>
    </w:p>
    <w:p w14:paraId="0000002F" w14:textId="77777777" w:rsidR="00273BEE" w:rsidRDefault="00000000">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Grado de instrucción:</w:t>
      </w:r>
      <w:r>
        <w:rPr>
          <w:rFonts w:ascii="Times New Roman" w:eastAsia="Times New Roman" w:hAnsi="Times New Roman" w:cs="Times New Roman"/>
          <w:sz w:val="24"/>
          <w:szCs w:val="24"/>
        </w:rPr>
        <w:t xml:space="preserve"> Magister</w:t>
      </w:r>
    </w:p>
    <w:p w14:paraId="00000030" w14:textId="77777777" w:rsidR="00273BEE" w:rsidRDefault="00000000">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Ocupación:</w:t>
      </w:r>
      <w:r>
        <w:rPr>
          <w:rFonts w:ascii="Times New Roman" w:eastAsia="Times New Roman" w:hAnsi="Times New Roman" w:cs="Times New Roman"/>
          <w:sz w:val="24"/>
          <w:szCs w:val="24"/>
        </w:rPr>
        <w:t xml:space="preserve"> Jubilada</w:t>
      </w:r>
    </w:p>
    <w:p w14:paraId="00000031" w14:textId="77777777" w:rsidR="00273BEE" w:rsidRDefault="00000000">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Lugar de residencia:</w:t>
      </w:r>
      <w:r>
        <w:rPr>
          <w:rFonts w:ascii="Times New Roman" w:eastAsia="Times New Roman" w:hAnsi="Times New Roman" w:cs="Times New Roman"/>
          <w:sz w:val="24"/>
          <w:szCs w:val="24"/>
        </w:rPr>
        <w:t xml:space="preserve"> Lima-Los Precursores, Santiago de Surco</w:t>
      </w:r>
    </w:p>
    <w:p w14:paraId="00000032" w14:textId="77777777" w:rsidR="00273BEE" w:rsidRDefault="00000000">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Viven con: </w:t>
      </w:r>
      <w:r>
        <w:rPr>
          <w:rFonts w:ascii="Times New Roman" w:eastAsia="Times New Roman" w:hAnsi="Times New Roman" w:cs="Times New Roman"/>
          <w:sz w:val="24"/>
          <w:szCs w:val="24"/>
        </w:rPr>
        <w:t>Sola.</w:t>
      </w:r>
    </w:p>
    <w:p w14:paraId="00000033" w14:textId="77777777" w:rsidR="00273BEE" w:rsidRDefault="00273BEE">
      <w:pPr>
        <w:spacing w:line="360" w:lineRule="auto"/>
        <w:jc w:val="both"/>
        <w:rPr>
          <w:rFonts w:ascii="Times New Roman" w:eastAsia="Times New Roman" w:hAnsi="Times New Roman" w:cs="Times New Roman"/>
          <w:sz w:val="24"/>
          <w:szCs w:val="24"/>
        </w:rPr>
      </w:pPr>
    </w:p>
    <w:p w14:paraId="00000034" w14:textId="77777777" w:rsidR="00273BEE" w:rsidRDefault="00000000">
      <w:pPr>
        <w:numPr>
          <w:ilvl w:val="0"/>
          <w:numId w:val="5"/>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Observación de conducta</w:t>
      </w:r>
    </w:p>
    <w:p w14:paraId="00000035" w14:textId="77777777" w:rsidR="00273BEE" w:rsidRDefault="00273BEE">
      <w:pPr>
        <w:spacing w:line="360" w:lineRule="auto"/>
        <w:jc w:val="both"/>
        <w:rPr>
          <w:rFonts w:ascii="Times New Roman" w:eastAsia="Times New Roman" w:hAnsi="Times New Roman" w:cs="Times New Roman"/>
          <w:b/>
          <w:bCs/>
          <w:sz w:val="24"/>
          <w:szCs w:val="24"/>
        </w:rPr>
      </w:pPr>
    </w:p>
    <w:p w14:paraId="0000003A" w14:textId="454824E7" w:rsidR="00273BEE" w:rsidRDefault="18950525">
      <w:pPr>
        <w:spacing w:line="360" w:lineRule="auto"/>
        <w:ind w:firstLine="720"/>
        <w:jc w:val="both"/>
      </w:pPr>
      <w:r w:rsidRPr="18950525">
        <w:rPr>
          <w:rFonts w:ascii="Times New Roman" w:eastAsia="Times New Roman" w:hAnsi="Times New Roman" w:cs="Times New Roman"/>
          <w:sz w:val="24"/>
          <w:szCs w:val="24"/>
        </w:rPr>
        <w:t>Durante la sesión, la paciente se presentó orientada en tiempo, espacio y persona. Su vestimenta personal era adecuada. Se mostró bastante cooperativa; Su lenguaje fue fluido, articulado y coherente en todo momento. A nivel afectivo, evidenció signos de tristeza y una marcada labilidad emocional, desbordándose en llanto con gran facilidad al iniciar el relato de su malestar. A nivel de pensamiento, manifestó incomprensión ante su situación actual, reportando recientes bloqueos atencionales (como el olvido repentino de los pasos en su clase de ensayo, sintiendo como si nunca los hubiera practicado), los cuales ella misma atribuye a la carga emocional por la separación de su hija. Asimismo, mostró hipersensibilidad ante el apoyo social, refiriendo episodios de llanto ante gestos de contención (como cuando una amiga le tocó el hombro). A nivel motor, aunque inicialmente reflejaba tensión, a medida que avanzó la intervención, especialmente durante las prácticas de Mindfulness su postura corporal tendió a relajarse de manera progresiva. Logró sostener la quietud con mayor serenidad y demostró un excelente nivel de concentración, apertura y compromiso con los ejercicios propuestos.</w:t>
      </w:r>
    </w:p>
    <w:p w14:paraId="1FD8326E" w14:textId="71CF1F88" w:rsidR="18950525" w:rsidRDefault="18950525" w:rsidP="18950525">
      <w:pPr>
        <w:spacing w:line="360" w:lineRule="auto"/>
        <w:ind w:firstLine="720"/>
        <w:jc w:val="both"/>
        <w:rPr>
          <w:rFonts w:ascii="Times New Roman" w:eastAsia="Times New Roman" w:hAnsi="Times New Roman" w:cs="Times New Roman"/>
          <w:sz w:val="24"/>
          <w:szCs w:val="24"/>
        </w:rPr>
      </w:pPr>
    </w:p>
    <w:p w14:paraId="28382577" w14:textId="563EF483" w:rsidR="18950525" w:rsidRDefault="18950525" w:rsidP="18950525">
      <w:pPr>
        <w:spacing w:line="360" w:lineRule="auto"/>
        <w:ind w:firstLine="720"/>
        <w:jc w:val="both"/>
        <w:rPr>
          <w:rFonts w:ascii="Times New Roman" w:eastAsia="Times New Roman" w:hAnsi="Times New Roman" w:cs="Times New Roman"/>
          <w:sz w:val="24"/>
          <w:szCs w:val="24"/>
        </w:rPr>
      </w:pPr>
    </w:p>
    <w:p w14:paraId="0000003B" w14:textId="77777777" w:rsidR="00273BEE" w:rsidRDefault="00273BEE">
      <w:pPr>
        <w:spacing w:line="360" w:lineRule="auto"/>
        <w:ind w:firstLine="720"/>
        <w:jc w:val="both"/>
        <w:rPr>
          <w:rFonts w:ascii="Times New Roman" w:eastAsia="Times New Roman" w:hAnsi="Times New Roman" w:cs="Times New Roman"/>
          <w:sz w:val="24"/>
          <w:szCs w:val="24"/>
        </w:rPr>
      </w:pPr>
    </w:p>
    <w:p w14:paraId="0000003C" w14:textId="77777777" w:rsidR="00273BEE" w:rsidRDefault="00000000">
      <w:pPr>
        <w:numPr>
          <w:ilvl w:val="0"/>
          <w:numId w:val="5"/>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Motivo de consulta</w:t>
      </w:r>
    </w:p>
    <w:p w14:paraId="0000003D" w14:textId="77777777" w:rsidR="00273BEE" w:rsidRDefault="00273BEE">
      <w:pPr>
        <w:spacing w:line="360" w:lineRule="auto"/>
        <w:jc w:val="both"/>
        <w:rPr>
          <w:rFonts w:ascii="Times New Roman" w:eastAsia="Times New Roman" w:hAnsi="Times New Roman" w:cs="Times New Roman"/>
          <w:b/>
          <w:bCs/>
          <w:sz w:val="24"/>
          <w:szCs w:val="24"/>
        </w:rPr>
      </w:pPr>
    </w:p>
    <w:p w14:paraId="0000003E" w14:textId="77777777" w:rsidR="00273BEE"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consultante acude al servicio de consejería psicológica debido a que experimenta preocupación constante y excesiva por el bienestar y el futuro de su hija tras su proceso de divorcio. Refiere pensamientos recurrentes relacionados con la posibilidad de que su hija vuelva a sufrir situaciones adversas, lo que le genera ansiedad, tristeza, preocupación e incertidumbre. Asimismo, manifiesta sentirse emocionalmente sobrecargada debido a que durante gran parte de su vida ha asumido el rol de resolver los problemas de sus familiares, priorizando las necesidades de los demás sobre las propias. Esta dinámica ha contribuido al mantenimiento de elevados niveles de malestar emocional y dificultades para concentrarse en su propio bienestar, motivo por el cual solicita apoyo psicológico.</w:t>
      </w:r>
    </w:p>
    <w:p w14:paraId="0000003F" w14:textId="77777777" w:rsidR="00273BEE" w:rsidRDefault="00000000">
      <w:pPr>
        <w:numPr>
          <w:ilvl w:val="0"/>
          <w:numId w:val="5"/>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Antecedentes relevantes</w:t>
      </w:r>
    </w:p>
    <w:p w14:paraId="00000040" w14:textId="77777777" w:rsidR="00273BEE" w:rsidRDefault="00273BEE">
      <w:pPr>
        <w:widowControl w:val="0"/>
        <w:spacing w:line="360" w:lineRule="auto"/>
        <w:ind w:firstLine="720"/>
        <w:jc w:val="both"/>
        <w:rPr>
          <w:rFonts w:ascii="Times New Roman" w:eastAsia="Times New Roman" w:hAnsi="Times New Roman" w:cs="Times New Roman"/>
          <w:b/>
          <w:bCs/>
          <w:color w:val="1F1F1F"/>
          <w:sz w:val="24"/>
          <w:szCs w:val="24"/>
        </w:rPr>
      </w:pPr>
    </w:p>
    <w:p w14:paraId="00000041" w14:textId="77777777" w:rsidR="00273BEE" w:rsidRDefault="00000000">
      <w:pPr>
        <w:pBdr>
          <w:top w:val="nil"/>
          <w:left w:val="nil"/>
          <w:bottom w:val="nil"/>
          <w:right w:val="nil"/>
          <w:between w:val="nil"/>
        </w:pBdr>
        <w:spacing w:after="280" w:line="360" w:lineRule="auto"/>
        <w:ind w:firstLine="36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Dinámica familiar e historia de vida:</w:t>
      </w:r>
      <w:r>
        <w:rPr>
          <w:rFonts w:ascii="Times New Roman" w:eastAsia="Times New Roman" w:hAnsi="Times New Roman" w:cs="Times New Roman"/>
          <w:color w:val="000000"/>
          <w:sz w:val="24"/>
          <w:szCs w:val="24"/>
        </w:rPr>
        <w:t xml:space="preserve"> La consultante ha asumido durante gran parte de su vida el rol de cuidadora y solucionadora de problemas en su familia extensa, priorizando constantemente las necesidades de los demás por encima de su propio bienestar emocional. Su malestar actual se originó e intensificó significativamente a partir del complejo proceso de separación y divorcio de su hija, quien puso fin a un matrimonio de siete años marcado por el maltrato psicológico. Esta situación generó en la paciente una preocupación constante y el temor persistente de que sus seres queridos vuelvan a sufrir situaciones adversas. A este escenario se suma el impacto de diversas experiencias familiares estresantes recientes, incluyendo el fallecimiento de personas cercanas, lo cual ha reforzado su necesidad de mantenerse alerta y ejercer un control anticipatorio sobre los problemas de su entorno para intentar proteger a su familia. </w:t>
      </w:r>
    </w:p>
    <w:p w14:paraId="00000042" w14:textId="77777777" w:rsidR="00273BEE" w:rsidRDefault="00000000">
      <w:pPr>
        <w:pBdr>
          <w:top w:val="nil"/>
          <w:left w:val="nil"/>
          <w:bottom w:val="nil"/>
          <w:right w:val="nil"/>
          <w:between w:val="nil"/>
        </w:pBdr>
        <w:spacing w:after="280" w:line="360" w:lineRule="auto"/>
        <w:ind w:firstLine="36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Antecedentes médicos:</w:t>
      </w:r>
      <w:r>
        <w:rPr>
          <w:rFonts w:ascii="Times New Roman" w:eastAsia="Times New Roman" w:hAnsi="Times New Roman" w:cs="Times New Roman"/>
          <w:color w:val="000000"/>
          <w:sz w:val="24"/>
          <w:szCs w:val="24"/>
        </w:rPr>
        <w:t xml:space="preserve"> Durante las sesiones de evaluación, se recopiló que la paciente ha experimentado recientemente una pérdida de peso abrupta de aproximadamente 10 kilos, alteraciones crónicas en el mantenimiento del sueño y opresión torácica fuertemente asociada a sus episodios de ansiedad. Asimismo, la paciente refirió asistir a controles médicos periódicos (en el hospital Rebagliati). Para contar con un historial clínico completo, durante el seguimiento o derivación será pertinente ampliar la información respecto a los diagnósticos orgánicos específicos tratados en dicho nosocomio y su esquema de medicación actual, a fin de descartar cualquier influencia de factores médicos secundarios en su nivel de tensión.</w:t>
      </w:r>
    </w:p>
    <w:p w14:paraId="00000043" w14:textId="77777777" w:rsidR="00273BEE" w:rsidRDefault="00000000">
      <w:pPr>
        <w:pBdr>
          <w:top w:val="nil"/>
          <w:left w:val="nil"/>
          <w:bottom w:val="nil"/>
          <w:right w:val="nil"/>
          <w:between w:val="nil"/>
        </w:pBdr>
        <w:spacing w:after="280" w:line="360" w:lineRule="auto"/>
        <w:ind w:firstLine="36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lastRenderedPageBreak/>
        <w:t>Antecedentes psicológicos:</w:t>
      </w:r>
      <w:r>
        <w:rPr>
          <w:rFonts w:ascii="Times New Roman" w:eastAsia="Times New Roman" w:hAnsi="Times New Roman" w:cs="Times New Roman"/>
          <w:color w:val="000000"/>
          <w:sz w:val="24"/>
          <w:szCs w:val="24"/>
        </w:rPr>
        <w:t xml:space="preserve"> Se tiene conocimiento de que la paciente buscó atención psicológica de manera previa a través de su seguro de salud (EsSalud); sin embargo, refirió que dicho proceso careció de continuidad debido a la constante rotación de los profesionales que la atendían. Posteriormente, acudió a un consejero de su comunidad religiosa en busca de apoyo. Esta experiencia resultó fuertemente invalidante, ya que dicho consejero la culpabilizó y la hizo sentir responsable por las decisiones de pareja y el sufrimiento de su hija, incrementando significativamente su carga de malestar. Adicionalmente, en su búsqueda de alivio para la tensión corporal, la paciente ha recurrido previamente a terapias alternativas, como sesiones de acupuntura.</w:t>
      </w:r>
    </w:p>
    <w:p w14:paraId="00000044" w14:textId="77777777" w:rsidR="00273BEE" w:rsidRDefault="00000000">
      <w:pPr>
        <w:pBdr>
          <w:top w:val="nil"/>
          <w:left w:val="nil"/>
          <w:bottom w:val="nil"/>
          <w:right w:val="nil"/>
          <w:between w:val="nil"/>
        </w:pBdr>
        <w:spacing w:after="280" w:line="360" w:lineRule="auto"/>
        <w:ind w:firstLine="36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Historia académica y/o laboral:</w:t>
      </w:r>
      <w:r>
        <w:rPr>
          <w:rFonts w:ascii="Times New Roman" w:eastAsia="Times New Roman" w:hAnsi="Times New Roman" w:cs="Times New Roman"/>
          <w:color w:val="000000"/>
          <w:sz w:val="24"/>
          <w:szCs w:val="24"/>
        </w:rPr>
        <w:t xml:space="preserve"> La consultante cuenta con un grado de instrucción superior en educación-magister y actualmente se encuentra en condición de jubilada. A pesar de haber concluido su etapa laboral formal, mantiene una agenda diaria sumamente activa, participando en voluntariados y brindando apoyo a adultos mayores en casas hogar durante los fines de semana. Esta trayectoria refleja que la paciente posee excelentes recursos cognitivos y un alto nivel de funcionalidad; no obstante, esta información resulta clínicamente clave, ya que evidencia cómo utiliza esta sobreocupación constante y su rol de servicio como una estrategia de evitación para no detenerse a procesar sus propias emociones dolorosas ni la incertidumbre por el futuro. </w:t>
      </w:r>
    </w:p>
    <w:p w14:paraId="00000045" w14:textId="77777777" w:rsidR="00273BEE" w:rsidRDefault="00273BEE">
      <w:pPr>
        <w:widowControl w:val="0"/>
        <w:spacing w:line="360" w:lineRule="auto"/>
        <w:ind w:firstLine="720"/>
        <w:jc w:val="both"/>
        <w:rPr>
          <w:rFonts w:ascii="Times New Roman" w:eastAsia="Times New Roman" w:hAnsi="Times New Roman" w:cs="Times New Roman"/>
          <w:color w:val="1F1F1F"/>
          <w:sz w:val="24"/>
          <w:szCs w:val="24"/>
        </w:rPr>
      </w:pPr>
    </w:p>
    <w:p w14:paraId="00000046" w14:textId="77777777" w:rsidR="00273BEE" w:rsidRDefault="00000000">
      <w:pPr>
        <w:pStyle w:val="Ttulo3"/>
        <w:keepNext w:val="0"/>
        <w:keepLines w:val="0"/>
        <w:widowControl w:val="0"/>
        <w:numPr>
          <w:ilvl w:val="0"/>
          <w:numId w:val="5"/>
        </w:numPr>
        <w:spacing w:before="0" w:after="240" w:line="360" w:lineRule="auto"/>
        <w:jc w:val="both"/>
        <w:rPr>
          <w:rFonts w:ascii="Times New Roman" w:eastAsia="Times New Roman" w:hAnsi="Times New Roman" w:cs="Times New Roman"/>
          <w:b/>
          <w:bCs/>
          <w:color w:val="1F1F1F"/>
          <w:sz w:val="24"/>
          <w:szCs w:val="24"/>
        </w:rPr>
      </w:pPr>
      <w:bookmarkStart w:id="1" w:name="_heading=h.vnyx9eokiw64" w:colFirst="0" w:colLast="0"/>
      <w:bookmarkEnd w:id="1"/>
      <w:r>
        <w:rPr>
          <w:rFonts w:ascii="Times New Roman" w:eastAsia="Times New Roman" w:hAnsi="Times New Roman" w:cs="Times New Roman"/>
          <w:b/>
          <w:bCs/>
          <w:color w:val="1F1F1F"/>
          <w:sz w:val="24"/>
          <w:szCs w:val="24"/>
        </w:rPr>
        <w:t>Evaluación psicológica</w:t>
      </w:r>
    </w:p>
    <w:p w14:paraId="00000047" w14:textId="77777777" w:rsidR="00273BEE" w:rsidRDefault="00000000">
      <w:pPr>
        <w:pBdr>
          <w:top w:val="nil"/>
          <w:left w:val="nil"/>
          <w:bottom w:val="nil"/>
          <w:right w:val="nil"/>
          <w:between w:val="nil"/>
        </w:pBdr>
        <w:spacing w:after="280" w:line="360" w:lineRule="auto"/>
        <w:ind w:firstLine="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Para la evaluación psicológica de la consultante, se empleó como método principal la entrevista clínica semiestructurada, la cual permitió establecer un adecuado </w:t>
      </w:r>
      <w:r>
        <w:rPr>
          <w:rFonts w:ascii="Times New Roman" w:eastAsia="Times New Roman" w:hAnsi="Times New Roman" w:cs="Times New Roman"/>
          <w:i/>
          <w:iCs/>
          <w:color w:val="000000"/>
          <w:sz w:val="24"/>
          <w:szCs w:val="24"/>
        </w:rPr>
        <w:t>rapport</w:t>
      </w:r>
      <w:r>
        <w:rPr>
          <w:rFonts w:ascii="Times New Roman" w:eastAsia="Times New Roman" w:hAnsi="Times New Roman" w:cs="Times New Roman"/>
          <w:color w:val="000000"/>
          <w:sz w:val="24"/>
          <w:szCs w:val="24"/>
        </w:rPr>
        <w:t xml:space="preserve">, explorar a profundidad el motivo de consulta e identificar las principales fuentes de malestar familiar e individual. Este proceso se complementó con una observación clínica de la conducta, aplicada de forma sistemática para identificar indicadores no verbales, tales como la tensión muscular, la labilidad afectiva (llanto fácil) y los cambios posturales de la paciente frente a los ejercicios de </w:t>
      </w:r>
      <w:r>
        <w:rPr>
          <w:rFonts w:ascii="Times New Roman" w:eastAsia="Times New Roman" w:hAnsi="Times New Roman" w:cs="Times New Roman"/>
          <w:i/>
          <w:iCs/>
          <w:color w:val="000000"/>
          <w:sz w:val="24"/>
          <w:szCs w:val="24"/>
        </w:rPr>
        <w:t>Mindfulness</w:t>
      </w:r>
      <w:r>
        <w:rPr>
          <w:rFonts w:ascii="Times New Roman" w:eastAsia="Times New Roman" w:hAnsi="Times New Roman" w:cs="Times New Roman"/>
          <w:color w:val="000000"/>
          <w:sz w:val="24"/>
          <w:szCs w:val="24"/>
        </w:rPr>
        <w:t xml:space="preserve">. Asimismo, se aplicó el Análisis Funcional de la Conducta como técnica clínica fundamental para reconocer las contingencias del problema, logrando identificar los antecedentes (momentos de inactividad o silencio), las respuestas de la paciente (hiperactividad y sobreocupación) y las consecuencias que mantenían el cuadro clínico (alivio a corto plazo seguido de un profundo desgaste a largo plazo). Como técnica complementaria, se utilizó el </w:t>
      </w:r>
      <w:r>
        <w:rPr>
          <w:rFonts w:ascii="Times New Roman" w:eastAsia="Times New Roman" w:hAnsi="Times New Roman" w:cs="Times New Roman"/>
          <w:color w:val="000000"/>
          <w:sz w:val="24"/>
          <w:szCs w:val="24"/>
        </w:rPr>
        <w:lastRenderedPageBreak/>
        <w:t xml:space="preserve">autorregistro cualitativo intersesión denominado </w:t>
      </w:r>
      <w:r>
        <w:rPr>
          <w:rFonts w:ascii="Times New Roman" w:eastAsia="Times New Roman" w:hAnsi="Times New Roman" w:cs="Times New Roman"/>
          <w:i/>
          <w:iCs/>
          <w:color w:val="000000"/>
          <w:sz w:val="24"/>
          <w:szCs w:val="24"/>
        </w:rPr>
        <w:t>"Mi Espacio de Pausa y Calma"</w:t>
      </w:r>
      <w:r>
        <w:rPr>
          <w:rFonts w:ascii="Times New Roman" w:eastAsia="Times New Roman" w:hAnsi="Times New Roman" w:cs="Times New Roman"/>
          <w:color w:val="000000"/>
          <w:sz w:val="24"/>
          <w:szCs w:val="24"/>
        </w:rPr>
        <w:t xml:space="preserve">, el cual sirvió como instrumento de evaluación ecológica para documentar su nivel de adherencia y la intensidad de las sensaciones físicas (dolor de pecho) experimentadas en su entorno natural. Cabe destacar que, debido a la priorización de la contención emocional inmediata y a la alta efectividad clínica del análisis funcional para el diseño de este tratamiento, no se consideró pertinente ni necesaria la aplicación de pruebas psicométricas, escalas o inventarios estandarizados adicionales en esta fase. </w:t>
      </w:r>
    </w:p>
    <w:p w14:paraId="00000048" w14:textId="77777777" w:rsidR="00273BEE" w:rsidRDefault="00000000">
      <w:pPr>
        <w:pBdr>
          <w:top w:val="nil"/>
          <w:left w:val="nil"/>
          <w:bottom w:val="nil"/>
          <w:right w:val="nil"/>
          <w:between w:val="nil"/>
        </w:pBdr>
        <w:spacing w:after="280" w:line="360" w:lineRule="auto"/>
        <w:ind w:firstLine="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Los principales resultados derivados de estos métodos de evaluación evidencian una sintomatología compleja en diversas áreas. A nivel emocional, destaca la presencia de una elevada ansiedad, profunda tristeza, marcada culpa e incertidumbre constante frente al escenario familiar. En el ámbito cognitivo, se identificó una evidente fusión con pensamientos relacionados con la responsabilidad excesiva, la necesidad de control anticipatorio y la preocupación incesante por el futuro de su hija tras el proceso de divorcio. Conductualmente, la paciente exhibe un patrón de evitación de experiencias emocionales desagradables a través de una sobreocupación constante, estrategia que restringe severamente su flexibilidad psicológica, la aleja de conductas orientadas a su propio cuidado y genera síntomas de somatización, evidenciados en una notable pérdida de peso y dolor torácico. Finalmente, a nivel interpersonal, estos indicadores se traducen en la asunción sistemática de la responsabilidad de resolver los problemas de todos sus familiares, estableciendo una dinámica disfuncional que la lleva a relegar sus propias necesidades y priorizar de forma casi exclusiva el bienestar de los demás por encima del suyo.</w:t>
      </w:r>
    </w:p>
    <w:p w14:paraId="00000049" w14:textId="77777777" w:rsidR="00273BEE" w:rsidRDefault="00273BEE" w:rsidP="18950525">
      <w:pPr>
        <w:spacing w:line="360" w:lineRule="auto"/>
        <w:rPr>
          <w:rFonts w:ascii="Times New Roman" w:eastAsia="Times New Roman" w:hAnsi="Times New Roman" w:cs="Times New Roman"/>
        </w:rPr>
      </w:pPr>
    </w:p>
    <w:p w14:paraId="0000004A" w14:textId="77777777" w:rsidR="00273BEE" w:rsidRDefault="00000000">
      <w:pPr>
        <w:numPr>
          <w:ilvl w:val="0"/>
          <w:numId w:val="5"/>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Principales resultados de la evaluación (indicadores emocionales , cognitivos,</w:t>
      </w:r>
    </w:p>
    <w:p w14:paraId="0000004B" w14:textId="77777777" w:rsidR="00273BEE" w:rsidRDefault="00000000">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conductuales e interpersonales).</w:t>
      </w:r>
    </w:p>
    <w:p w14:paraId="0000004C" w14:textId="77777777" w:rsidR="00273BEE"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Referente a los indicadores emocionales y conductuales, se constató una profunda desregulación emocional caracterizada por niveles clínicos de ansiedad, tristeza persistente y una intensa carga de culpa. A nivel conductual, se evidencia un patrón de evitación experiencial extrema; para no entrar en contacto con emociones dolorosas, la paciente recurre a la sobreocupación compulsiva (activismo continuo en la iglesia y voluntariados). Esta hiperactividad funciona como una estrategia de escape a corto plazo que, de manera sostenida, restringe su flexibilidad psicológica y ha desencadenado una aguda somatización, evidenciada en una pérdida abrupta de peso (10 kilos), opresión torácica y graves alteraciones en el </w:t>
      </w:r>
      <w:r>
        <w:rPr>
          <w:rFonts w:ascii="Times New Roman" w:eastAsia="Times New Roman" w:hAnsi="Times New Roman" w:cs="Times New Roman"/>
          <w:sz w:val="24"/>
          <w:szCs w:val="24"/>
        </w:rPr>
        <w:lastRenderedPageBreak/>
        <w:t xml:space="preserve">mantenimiento del sueño. </w:t>
      </w:r>
      <w:r>
        <w:rPr>
          <w:rFonts w:ascii="Times New Roman" w:eastAsia="Times New Roman" w:hAnsi="Times New Roman" w:cs="Times New Roman"/>
          <w:i/>
          <w:iCs/>
          <w:sz w:val="24"/>
          <w:szCs w:val="24"/>
        </w:rPr>
        <w:t>"La mayor parte del día trato de estar ocupada... voy a mi iglesia, voy a la casa hogar de los adultos mayores los sábados y trato de estar ocupada para no pensar en ciertas cosas... en las noches me despierto en sobresalto, no puedo dormir. Aparece esto de llorar de la nada... siento un poco de presión acá en el pecho"</w:t>
      </w:r>
      <w:r>
        <w:rPr>
          <w:rFonts w:ascii="Times New Roman" w:eastAsia="Times New Roman" w:hAnsi="Times New Roman" w:cs="Times New Roman"/>
          <w:sz w:val="24"/>
          <w:szCs w:val="24"/>
        </w:rPr>
        <w:t>.</w:t>
      </w:r>
    </w:p>
    <w:p w14:paraId="0000004D" w14:textId="77777777" w:rsidR="00273BEE" w:rsidRDefault="00273BEE">
      <w:pPr>
        <w:spacing w:line="360" w:lineRule="auto"/>
        <w:jc w:val="both"/>
        <w:rPr>
          <w:rFonts w:ascii="Times New Roman" w:eastAsia="Times New Roman" w:hAnsi="Times New Roman" w:cs="Times New Roman"/>
          <w:sz w:val="24"/>
          <w:szCs w:val="24"/>
        </w:rPr>
      </w:pPr>
    </w:p>
    <w:p w14:paraId="0000004E" w14:textId="77777777" w:rsidR="00273BEE"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Respecto a los indicadores cognitivos, la evaluada mostró una severa fusión cognitiva. Florcita presenta pensamientos rumiativos de corte catastrófico enfocados en el bienestar y futuro de su hija, así como en la posibilidad de que ocurran nuevas adversidades familiares. Se observa una disonancia cognitiva profunda entre sus valores religiosos conservadores y la realidad de los eventos familiares (el divorcio), lo que alimenta creencias de hiperresponsabilidad y la necesidad de anticipar posibles eventos negativos para intentar controlarlos. </w:t>
      </w:r>
      <w:r>
        <w:rPr>
          <w:rFonts w:ascii="Times New Roman" w:eastAsia="Times New Roman" w:hAnsi="Times New Roman" w:cs="Times New Roman"/>
          <w:i/>
          <w:iCs/>
          <w:sz w:val="24"/>
          <w:szCs w:val="24"/>
        </w:rPr>
        <w:t>Verbalización de la paciente:</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"Esa es mi preocupación... yo ya estoy muy grande, ¿qué va a ser de su futuro si yo falto? Quiero que mientras esté viva ella tenga su familia correcta... Todo esto me atormenta"</w:t>
      </w:r>
      <w:r>
        <w:rPr>
          <w:rFonts w:ascii="Times New Roman" w:eastAsia="Times New Roman" w:hAnsi="Times New Roman" w:cs="Times New Roman"/>
          <w:sz w:val="24"/>
          <w:szCs w:val="24"/>
        </w:rPr>
        <w:t>.</w:t>
      </w:r>
    </w:p>
    <w:p w14:paraId="0000004F" w14:textId="77777777" w:rsidR="00273BEE" w:rsidRDefault="00273BEE">
      <w:pPr>
        <w:spacing w:line="360" w:lineRule="auto"/>
        <w:ind w:firstLine="720"/>
        <w:jc w:val="both"/>
        <w:rPr>
          <w:rFonts w:ascii="Times New Roman" w:eastAsia="Times New Roman" w:hAnsi="Times New Roman" w:cs="Times New Roman"/>
          <w:sz w:val="24"/>
          <w:szCs w:val="24"/>
        </w:rPr>
      </w:pPr>
    </w:p>
    <w:p w14:paraId="00000050" w14:textId="77777777" w:rsidR="00273BEE"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cuanto al discurso, el contenido de su discurso gira de manera recurrente en torno a la preocupación por los demás, el sacrificio personal y el peso de sus valores espirituales frente a las crisis de su entorno. Si bien a nivel formal su lenguaje se mantiene fluido y coherente, al verbalizar sus vivencias dolorosas su discurso se carga de afecto, desbordándose en llanto con gran facilidad. Tiende a minimizar inicialmente su propio desgaste para enfocar la narrativa en el sufrimiento de su hija y su familia. </w:t>
      </w:r>
      <w:r>
        <w:rPr>
          <w:rFonts w:ascii="Times New Roman" w:eastAsia="Times New Roman" w:hAnsi="Times New Roman" w:cs="Times New Roman"/>
          <w:i/>
          <w:iCs/>
          <w:sz w:val="24"/>
          <w:szCs w:val="24"/>
        </w:rPr>
        <w:t>"Es un tema muy delicado y difícil para mí... me siento culpable. Yo no me atrevo a hablar con amistades, con familiares tampoco me desahogo porque pienso que debo ser yo la que tiene que llevar la información"</w:t>
      </w:r>
      <w:r>
        <w:rPr>
          <w:rFonts w:ascii="Times New Roman" w:eastAsia="Times New Roman" w:hAnsi="Times New Roman" w:cs="Times New Roman"/>
          <w:sz w:val="24"/>
          <w:szCs w:val="24"/>
        </w:rPr>
        <w:t>.</w:t>
      </w:r>
    </w:p>
    <w:p w14:paraId="00000051" w14:textId="77777777" w:rsidR="00273BEE" w:rsidRDefault="00273BEE">
      <w:pPr>
        <w:spacing w:line="360" w:lineRule="auto"/>
        <w:ind w:firstLine="720"/>
        <w:jc w:val="both"/>
        <w:rPr>
          <w:rFonts w:ascii="Times New Roman" w:eastAsia="Times New Roman" w:hAnsi="Times New Roman" w:cs="Times New Roman"/>
          <w:sz w:val="24"/>
          <w:szCs w:val="24"/>
        </w:rPr>
      </w:pPr>
    </w:p>
    <w:p w14:paraId="00000052" w14:textId="77777777" w:rsidR="00273BEE"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relación con los indicadores interpersonales, se identificó una dinámica relacional disfuncional cimentada en el rol de "cuidadora inagotable". La paciente asume sistemáticamente la responsabilidad de resolver los conflictos y necesidades de su familia extensa, lo cual anula su capacidad para establecer límites saludables. Esto la lleva a relegar por completo sus propias necesidades físicas y emocionales, priorizando el bienestar ajeno hasta llegar a un estado de agotamiento crónico. </w:t>
      </w:r>
      <w:r>
        <w:rPr>
          <w:rFonts w:ascii="Times New Roman" w:eastAsia="Times New Roman" w:hAnsi="Times New Roman" w:cs="Times New Roman"/>
          <w:i/>
          <w:iCs/>
          <w:sz w:val="24"/>
          <w:szCs w:val="24"/>
        </w:rPr>
        <w:t>"Yo siempre he solucionado el problema de todos mis hermanos, los problemas de salud o económicos siempre a mí... yo trato de ayudarlos, pero en algún momento esperaba un 'gracias, hermana', pero nadie me lo dice"</w:t>
      </w:r>
      <w:r>
        <w:rPr>
          <w:rFonts w:ascii="Times New Roman" w:eastAsia="Times New Roman" w:hAnsi="Times New Roman" w:cs="Times New Roman"/>
          <w:sz w:val="24"/>
          <w:szCs w:val="24"/>
        </w:rPr>
        <w:t>.</w:t>
      </w:r>
    </w:p>
    <w:p w14:paraId="00000053" w14:textId="77777777" w:rsidR="00273BEE" w:rsidRDefault="00273BEE">
      <w:pPr>
        <w:spacing w:line="360" w:lineRule="auto"/>
        <w:ind w:firstLine="720"/>
        <w:jc w:val="both"/>
        <w:rPr>
          <w:rFonts w:ascii="Times New Roman" w:eastAsia="Times New Roman" w:hAnsi="Times New Roman" w:cs="Times New Roman"/>
          <w:sz w:val="24"/>
          <w:szCs w:val="24"/>
        </w:rPr>
      </w:pPr>
    </w:p>
    <w:p w14:paraId="00000054" w14:textId="77777777" w:rsidR="00273BEE" w:rsidRDefault="00000000">
      <w:pPr>
        <w:numPr>
          <w:ilvl w:val="0"/>
          <w:numId w:val="5"/>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Presunción diagnóstica</w:t>
      </w:r>
    </w:p>
    <w:p w14:paraId="00000055" w14:textId="77777777" w:rsidR="00273BEE" w:rsidRDefault="00000000">
      <w:pPr>
        <w:widowControl w:val="0"/>
        <w:spacing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consideración de que la evaluación se ha concluido empleando como métodos principales la entrevista clínica orientada a la consejería, la observación conductual y el análisis funcional, la información clínica recogida permite formular la siguiente presunción diagnóstica descriptiva basada en los criterios del CIE-11:</w:t>
      </w:r>
    </w:p>
    <w:p w14:paraId="00000056" w14:textId="77777777" w:rsidR="00273BEE" w:rsidRDefault="00000000">
      <w:pPr>
        <w:widowControl w:val="0"/>
        <w:spacing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6B43 Trastorno de adaptación:</w:t>
      </w:r>
      <w:r>
        <w:rPr>
          <w:rFonts w:ascii="Times New Roman" w:eastAsia="Times New Roman" w:hAnsi="Times New Roman" w:cs="Times New Roman"/>
          <w:sz w:val="24"/>
          <w:szCs w:val="24"/>
        </w:rPr>
        <w:t xml:space="preserve"> Esta presunción diagnóstica se sustenta en el surgimiento de síntomas emocionales y conductuales desadaptativos como reacción directa a factores estresantes psicosociales identificables (el prolongado y conflictivo proceso de divorcio de su hija y el reciente fallecimiento de personas cercanas), los cuales han generado una preocupación constante y excesiva que sobrepasa sus recursos de afrontamiento y restringe su flexibilidad psicológica. </w:t>
      </w:r>
    </w:p>
    <w:p w14:paraId="00000057" w14:textId="77777777" w:rsidR="00273BEE" w:rsidRDefault="00000000">
      <w:pPr>
        <w:widowControl w:val="0"/>
        <w:spacing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cuadro clínico integra directamente la información recogida en la evaluación al evidenciar los síntomas y alteraciones centrales que caracterizan a este trastorno:</w:t>
      </w:r>
    </w:p>
    <w:p w14:paraId="00000058" w14:textId="77777777" w:rsidR="00273BEE" w:rsidRDefault="00000000">
      <w:pPr>
        <w:widowControl w:val="0"/>
        <w:numPr>
          <w:ilvl w:val="0"/>
          <w:numId w:val="3"/>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Preocupación excesiva y desregulación emocional:</w:t>
      </w:r>
      <w:r>
        <w:rPr>
          <w:rFonts w:ascii="Times New Roman" w:eastAsia="Times New Roman" w:hAnsi="Times New Roman" w:cs="Times New Roman"/>
          <w:color w:val="000000"/>
          <w:sz w:val="24"/>
          <w:szCs w:val="24"/>
        </w:rPr>
        <w:t xml:space="preserve"> La paciente presenta un estado de alerta, aflicción y tensión constante relacionado intrínsecamente con el evento estresor de su familia. Se evidencia en su discurso una ansiedad y tristeza recurrentes ante la posibilidad de que su hija vuelva a sufrir situaciones adversas. Como ella misma refiere: </w:t>
      </w:r>
      <w:r>
        <w:rPr>
          <w:rFonts w:ascii="Times New Roman" w:eastAsia="Times New Roman" w:hAnsi="Times New Roman" w:cs="Times New Roman"/>
          <w:i/>
          <w:iCs/>
          <w:color w:val="000000"/>
          <w:sz w:val="24"/>
          <w:szCs w:val="24"/>
        </w:rPr>
        <w:t>"Aparece esto de llorar de la nada... siento un poco de presión acá en el pecho y algo también de querer llorar"</w:t>
      </w:r>
      <w:r>
        <w:rPr>
          <w:rFonts w:ascii="Times New Roman" w:eastAsia="Times New Roman" w:hAnsi="Times New Roman" w:cs="Times New Roman"/>
          <w:color w:val="000000"/>
          <w:sz w:val="24"/>
          <w:szCs w:val="24"/>
        </w:rPr>
        <w:t xml:space="preserve">. </w:t>
      </w:r>
    </w:p>
    <w:p w14:paraId="00000059" w14:textId="77777777" w:rsidR="00273BEE" w:rsidRDefault="00000000">
      <w:pPr>
        <w:widowControl w:val="0"/>
        <w:numPr>
          <w:ilvl w:val="0"/>
          <w:numId w:val="3"/>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Evitación experiencial y sobreocupación defensiva:</w:t>
      </w:r>
      <w:r>
        <w:rPr>
          <w:rFonts w:ascii="Times New Roman" w:eastAsia="Times New Roman" w:hAnsi="Times New Roman" w:cs="Times New Roman"/>
          <w:color w:val="000000"/>
          <w:sz w:val="24"/>
          <w:szCs w:val="24"/>
        </w:rPr>
        <w:t xml:space="preserve"> A diferencia de respuestas de paralización, la paciente responde a los pensamientos y emociones dolorosas involucrándose excesivamente en los problemas de los demás y en múltiples tareas para evitar el contacto con su propio malestar. Mantiene un patrón crónico de hiperactividad conductual para intentar anticipar y controlar eventos negativos, relatando: </w:t>
      </w:r>
      <w:r>
        <w:rPr>
          <w:rFonts w:ascii="Times New Roman" w:eastAsia="Times New Roman" w:hAnsi="Times New Roman" w:cs="Times New Roman"/>
          <w:i/>
          <w:iCs/>
          <w:color w:val="000000"/>
          <w:sz w:val="24"/>
          <w:szCs w:val="24"/>
        </w:rPr>
        <w:t>"La mayor parte del día trato de estar ocupada... voy a mi iglesia, voy a la casa hogar de los adultos mayores los sábados y trato de estar ocupada para no pensar en ciertas cosas"</w:t>
      </w:r>
      <w:r>
        <w:rPr>
          <w:rFonts w:ascii="Times New Roman" w:eastAsia="Times New Roman" w:hAnsi="Times New Roman" w:cs="Times New Roman"/>
          <w:color w:val="000000"/>
          <w:sz w:val="24"/>
          <w:szCs w:val="24"/>
        </w:rPr>
        <w:t xml:space="preserve">. </w:t>
      </w:r>
    </w:p>
    <w:p w14:paraId="0000005A" w14:textId="77777777" w:rsidR="00273BEE" w:rsidRDefault="00000000">
      <w:pPr>
        <w:widowControl w:val="0"/>
        <w:numPr>
          <w:ilvl w:val="0"/>
          <w:numId w:val="3"/>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Alteración somática y deterioro del bienestar:</w:t>
      </w:r>
      <w:r>
        <w:rPr>
          <w:rFonts w:ascii="Times New Roman" w:eastAsia="Times New Roman" w:hAnsi="Times New Roman" w:cs="Times New Roman"/>
          <w:color w:val="000000"/>
          <w:sz w:val="24"/>
          <w:szCs w:val="24"/>
        </w:rPr>
        <w:t xml:space="preserve"> La exposición sostenida a la preocupación por el futuro, sumada a la represión de sus emociones, ha desencadenado alteraciones físicas significativas que evidencian el nivel de desgaste adaptativo. Presenta un severo insomnio de mantenimiento refiriendo que </w:t>
      </w:r>
      <w:r>
        <w:rPr>
          <w:rFonts w:ascii="Times New Roman" w:eastAsia="Times New Roman" w:hAnsi="Times New Roman" w:cs="Times New Roman"/>
          <w:i/>
          <w:iCs/>
          <w:color w:val="000000"/>
          <w:sz w:val="24"/>
          <w:szCs w:val="24"/>
        </w:rPr>
        <w:t>"en las noches me despierto en sobresalto, no puedo dormir"</w:t>
      </w:r>
      <w:r>
        <w:rPr>
          <w:rFonts w:ascii="Times New Roman" w:eastAsia="Times New Roman" w:hAnsi="Times New Roman" w:cs="Times New Roman"/>
          <w:color w:val="000000"/>
          <w:sz w:val="24"/>
          <w:szCs w:val="24"/>
        </w:rPr>
        <w:t xml:space="preserve">, además de una pérdida abrupta de 10 kilos </w:t>
      </w:r>
      <w:r>
        <w:rPr>
          <w:rFonts w:ascii="Times New Roman" w:eastAsia="Times New Roman" w:hAnsi="Times New Roman" w:cs="Times New Roman"/>
          <w:color w:val="000000"/>
          <w:sz w:val="24"/>
          <w:szCs w:val="24"/>
        </w:rPr>
        <w:lastRenderedPageBreak/>
        <w:t xml:space="preserve">y una constante opresión torácica asociada a la tensión nerviosa. </w:t>
      </w:r>
    </w:p>
    <w:p w14:paraId="0000005B" w14:textId="77777777" w:rsidR="00273BEE" w:rsidRDefault="00000000">
      <w:pPr>
        <w:widowControl w:val="0"/>
        <w:numPr>
          <w:ilvl w:val="0"/>
          <w:numId w:val="3"/>
        </w:numPr>
        <w:pBdr>
          <w:top w:val="nil"/>
          <w:left w:val="nil"/>
          <w:bottom w:val="nil"/>
          <w:right w:val="nil"/>
          <w:between w:val="nil"/>
        </w:pBdr>
        <w:spacing w:after="24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Deterioro en el funcionamiento interpersonal (rol de cuidadora):</w:t>
      </w:r>
      <w:r>
        <w:rPr>
          <w:rFonts w:ascii="Times New Roman" w:eastAsia="Times New Roman" w:hAnsi="Times New Roman" w:cs="Times New Roman"/>
          <w:color w:val="000000"/>
          <w:sz w:val="24"/>
          <w:szCs w:val="24"/>
        </w:rPr>
        <w:t xml:space="preserve"> Como parte de su reacción desadaptativa al estrés, la paciente ha agudizado su necesidad de asumir la responsabilidad absoluta de resolver los problemas de sus familiares, descuidando por completo su propio bienestar emocional y necesidades personales. Se muestra abrumada por esta hiperresponsabilidad y por la invalidación externa, indicando: </w:t>
      </w:r>
      <w:r>
        <w:rPr>
          <w:rFonts w:ascii="Times New Roman" w:eastAsia="Times New Roman" w:hAnsi="Times New Roman" w:cs="Times New Roman"/>
          <w:i/>
          <w:iCs/>
          <w:color w:val="000000"/>
          <w:sz w:val="24"/>
          <w:szCs w:val="24"/>
        </w:rPr>
        <w:t>"Yo siempre he solucionado el problema de todos mis hermanos... Todo esto me atormenta"</w:t>
      </w:r>
      <w:r>
        <w:rPr>
          <w:rFonts w:ascii="Times New Roman" w:eastAsia="Times New Roman" w:hAnsi="Times New Roman" w:cs="Times New Roman"/>
          <w:color w:val="000000"/>
          <w:sz w:val="24"/>
          <w:szCs w:val="24"/>
        </w:rPr>
        <w:t>.</w:t>
      </w:r>
    </w:p>
    <w:p w14:paraId="0000005C" w14:textId="77777777" w:rsidR="00273BEE" w:rsidRDefault="00000000">
      <w:pPr>
        <w:pStyle w:val="Ttulo3"/>
        <w:keepNext w:val="0"/>
        <w:keepLines w:val="0"/>
        <w:widowControl w:val="0"/>
        <w:spacing w:before="0" w:after="240" w:line="360" w:lineRule="auto"/>
        <w:jc w:val="both"/>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8. Objetivos de la intervención</w:t>
      </w:r>
    </w:p>
    <w:p w14:paraId="0000005D" w14:textId="77777777" w:rsidR="00273BEE"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Objetivo general:</w:t>
      </w:r>
      <w:r>
        <w:rPr>
          <w:rFonts w:ascii="Times New Roman" w:eastAsia="Times New Roman" w:hAnsi="Times New Roman" w:cs="Times New Roman"/>
          <w:sz w:val="24"/>
          <w:szCs w:val="24"/>
        </w:rPr>
        <w:t xml:space="preserve"> Reducir la sintomatología clínica asociada al Trastorno de Adaptación y promover la flexibilidad psicológica de la consultante, facilitando el desarrollo de recursos de regulación emocional que le permitan priorizar su autocuidado, disminuir la evitación experiencial y establecer una relación más saludable y equilibrada con las preocupaciones sobre su entorno familiar. </w:t>
      </w:r>
    </w:p>
    <w:p w14:paraId="0000005E" w14:textId="77777777" w:rsidR="00273BEE" w:rsidRDefault="18950525" w:rsidP="18950525">
      <w:pPr>
        <w:spacing w:after="240" w:line="360" w:lineRule="auto"/>
        <w:jc w:val="both"/>
        <w:rPr>
          <w:rFonts w:ascii="Times New Roman" w:eastAsia="Times New Roman" w:hAnsi="Times New Roman" w:cs="Times New Roman"/>
          <w:b/>
          <w:bCs/>
          <w:sz w:val="24"/>
          <w:szCs w:val="24"/>
        </w:rPr>
      </w:pPr>
      <w:r w:rsidRPr="18950525">
        <w:rPr>
          <w:rFonts w:ascii="Times New Roman" w:eastAsia="Times New Roman" w:hAnsi="Times New Roman" w:cs="Times New Roman"/>
          <w:b/>
          <w:bCs/>
          <w:sz w:val="24"/>
          <w:szCs w:val="24"/>
        </w:rPr>
        <w:t>Objetivos específicos:</w:t>
      </w:r>
    </w:p>
    <w:p w14:paraId="0000005F" w14:textId="77777777" w:rsidR="00273BEE" w:rsidRDefault="18950525" w:rsidP="18950525">
      <w:pPr>
        <w:numPr>
          <w:ilvl w:val="0"/>
          <w:numId w:val="12"/>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18950525">
        <w:rPr>
          <w:rFonts w:ascii="Times New Roman" w:eastAsia="Times New Roman" w:hAnsi="Times New Roman" w:cs="Times New Roman"/>
          <w:color w:val="000000"/>
          <w:sz w:val="24"/>
          <w:szCs w:val="24"/>
        </w:rPr>
        <w:t xml:space="preserve">Promover la aceptación de las experiencias emocionales desagradables para disminuir la evitación experiencial y desestructurar la necesidad compulsiva de sobreocupación constante. </w:t>
      </w:r>
    </w:p>
    <w:p w14:paraId="00000060" w14:textId="77777777" w:rsidR="00273BEE" w:rsidRDefault="18950525" w:rsidP="18950525">
      <w:pPr>
        <w:numPr>
          <w:ilvl w:val="0"/>
          <w:numId w:val="12"/>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18950525">
        <w:rPr>
          <w:rFonts w:ascii="Times New Roman" w:eastAsia="Times New Roman" w:hAnsi="Times New Roman" w:cs="Times New Roman"/>
          <w:color w:val="000000"/>
          <w:sz w:val="24"/>
          <w:szCs w:val="24"/>
        </w:rPr>
        <w:t xml:space="preserve">Entrenar en habilidades básicas de </w:t>
      </w:r>
      <w:r w:rsidRPr="18950525">
        <w:rPr>
          <w:rFonts w:ascii="Times New Roman" w:eastAsia="Times New Roman" w:hAnsi="Times New Roman" w:cs="Times New Roman"/>
          <w:i/>
          <w:iCs/>
          <w:color w:val="000000"/>
          <w:sz w:val="24"/>
          <w:szCs w:val="24"/>
        </w:rPr>
        <w:t>Mindfulness</w:t>
      </w:r>
      <w:r w:rsidRPr="18950525">
        <w:rPr>
          <w:rFonts w:ascii="Times New Roman" w:eastAsia="Times New Roman" w:hAnsi="Times New Roman" w:cs="Times New Roman"/>
          <w:color w:val="000000"/>
          <w:sz w:val="24"/>
          <w:szCs w:val="24"/>
        </w:rPr>
        <w:t xml:space="preserve"> orientadas a anclar a la paciente en el momento presente y reducir la hiperactivación fisiológica (opresión torácica y alteraciones del sueño). </w:t>
      </w:r>
    </w:p>
    <w:p w14:paraId="00000061" w14:textId="77777777" w:rsidR="00273BEE" w:rsidRDefault="18950525" w:rsidP="18950525">
      <w:pPr>
        <w:numPr>
          <w:ilvl w:val="0"/>
          <w:numId w:val="12"/>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18950525">
        <w:rPr>
          <w:rFonts w:ascii="Times New Roman" w:eastAsia="Times New Roman" w:hAnsi="Times New Roman" w:cs="Times New Roman"/>
          <w:color w:val="000000"/>
          <w:sz w:val="24"/>
          <w:szCs w:val="24"/>
        </w:rPr>
        <w:t xml:space="preserve">Fomentar la desfusión cognitiva para flexibilizar sus creencias de hiperresponsabilidad familiar y mitigar el impacto de los pensamientos rumiativos catastróficos vinculados al futuro de su hija. </w:t>
      </w:r>
    </w:p>
    <w:p w14:paraId="00000062" w14:textId="77777777" w:rsidR="00273BEE" w:rsidRDefault="18950525" w:rsidP="18950525">
      <w:pPr>
        <w:numPr>
          <w:ilvl w:val="0"/>
          <w:numId w:val="12"/>
        </w:numPr>
        <w:pBdr>
          <w:top w:val="nil"/>
          <w:left w:val="nil"/>
          <w:bottom w:val="nil"/>
          <w:right w:val="nil"/>
          <w:between w:val="nil"/>
        </w:pBdr>
        <w:spacing w:after="240" w:line="360" w:lineRule="auto"/>
        <w:jc w:val="both"/>
        <w:rPr>
          <w:rFonts w:ascii="Times New Roman" w:eastAsia="Times New Roman" w:hAnsi="Times New Roman" w:cs="Times New Roman"/>
          <w:color w:val="000000"/>
          <w:sz w:val="24"/>
          <w:szCs w:val="24"/>
        </w:rPr>
      </w:pPr>
      <w:r w:rsidRPr="18950525">
        <w:rPr>
          <w:rFonts w:ascii="Times New Roman" w:eastAsia="Times New Roman" w:hAnsi="Times New Roman" w:cs="Times New Roman"/>
          <w:color w:val="000000"/>
          <w:sz w:val="24"/>
          <w:szCs w:val="24"/>
        </w:rPr>
        <w:t>Fortalecer la ejecución de acciones coherentes con su bienestar personal, promoviendo el equilibrio entre la "Mente del Hacer" (deberes) y la "Mente del Estar" (descanso) mediante pautas de autocompasión.</w:t>
      </w:r>
    </w:p>
    <w:p w14:paraId="00000063" w14:textId="77777777" w:rsidR="00273BEE" w:rsidRDefault="00000000">
      <w:pPr>
        <w:pStyle w:val="Ttulo3"/>
        <w:keepNext w:val="0"/>
        <w:keepLines w:val="0"/>
        <w:widowControl w:val="0"/>
        <w:spacing w:before="0" w:after="240" w:line="360" w:lineRule="auto"/>
        <w:jc w:val="both"/>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9. Diseño de la intervención psicológica</w:t>
      </w:r>
    </w:p>
    <w:p w14:paraId="00000064" w14:textId="77777777" w:rsidR="00273BEE" w:rsidRDefault="00000000">
      <w:pPr>
        <w:widowControl w:val="0"/>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Plan de acción:</w:t>
      </w:r>
    </w:p>
    <w:p w14:paraId="00000065" w14:textId="77777777" w:rsidR="00273BEE" w:rsidRDefault="18950525" w:rsidP="18950525">
      <w:pPr>
        <w:numPr>
          <w:ilvl w:val="0"/>
          <w:numId w:val="4"/>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18950525">
        <w:rPr>
          <w:rFonts w:ascii="Times New Roman" w:eastAsia="Times New Roman" w:hAnsi="Times New Roman" w:cs="Times New Roman"/>
          <w:b/>
          <w:bCs/>
          <w:color w:val="000000"/>
          <w:sz w:val="24"/>
          <w:szCs w:val="24"/>
        </w:rPr>
        <w:t>Psicoeducación:</w:t>
      </w:r>
      <w:r w:rsidRPr="18950525">
        <w:rPr>
          <w:rFonts w:ascii="Times New Roman" w:eastAsia="Times New Roman" w:hAnsi="Times New Roman" w:cs="Times New Roman"/>
          <w:color w:val="000000"/>
          <w:sz w:val="24"/>
          <w:szCs w:val="24"/>
        </w:rPr>
        <w:t xml:space="preserve"> Explicación adaptada a la etapa de vida de la paciente (adultez mayor) sobre la dinámica de la "evitación experiencial", ilustrando cómo el esfuerzo por evadir </w:t>
      </w:r>
      <w:r w:rsidRPr="18950525">
        <w:rPr>
          <w:rFonts w:ascii="Times New Roman" w:eastAsia="Times New Roman" w:hAnsi="Times New Roman" w:cs="Times New Roman"/>
          <w:color w:val="000000"/>
          <w:sz w:val="24"/>
          <w:szCs w:val="24"/>
        </w:rPr>
        <w:lastRenderedPageBreak/>
        <w:t xml:space="preserve">el malestar emocional a través de la sobreocupación compulsiva (limpieza, exceso de voluntariados) genera un alivio a corto plazo, pero a largo plazo exacerba el agotamiento físico, el insomnio y la tensión torácica. </w:t>
      </w:r>
    </w:p>
    <w:p w14:paraId="00000066" w14:textId="77777777" w:rsidR="00273BEE" w:rsidRDefault="18950525" w:rsidP="18950525">
      <w:pPr>
        <w:numPr>
          <w:ilvl w:val="0"/>
          <w:numId w:val="4"/>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18950525">
        <w:rPr>
          <w:rFonts w:ascii="Times New Roman" w:eastAsia="Times New Roman" w:hAnsi="Times New Roman" w:cs="Times New Roman"/>
          <w:b/>
          <w:bCs/>
          <w:color w:val="000000"/>
          <w:sz w:val="24"/>
          <w:szCs w:val="24"/>
        </w:rPr>
        <w:t>Entrenamiento en habilidades (Mindfulness):</w:t>
      </w:r>
      <w:r w:rsidRPr="18950525">
        <w:rPr>
          <w:rFonts w:ascii="Times New Roman" w:eastAsia="Times New Roman" w:hAnsi="Times New Roman" w:cs="Times New Roman"/>
          <w:color w:val="000000"/>
          <w:sz w:val="24"/>
          <w:szCs w:val="24"/>
        </w:rPr>
        <w:t xml:space="preserve"> Enseñanza práctica de las Habilidades Básicas de Mindfulness (Habilidades "Qué" y "Cómo") del modelo DBT, con el fin de que la paciente aprenda a enfocar su atención en el momento presente y en sus sensaciones corporales (como el dolor de pecho) con una actitud de curiosidad y sin juzgar. </w:t>
      </w:r>
    </w:p>
    <w:p w14:paraId="00000067" w14:textId="77777777" w:rsidR="00273BEE" w:rsidRDefault="18950525" w:rsidP="18950525">
      <w:pPr>
        <w:numPr>
          <w:ilvl w:val="0"/>
          <w:numId w:val="4"/>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18950525">
        <w:rPr>
          <w:rFonts w:ascii="Times New Roman" w:eastAsia="Times New Roman" w:hAnsi="Times New Roman" w:cs="Times New Roman"/>
          <w:b/>
          <w:bCs/>
          <w:color w:val="000000"/>
          <w:sz w:val="24"/>
          <w:szCs w:val="24"/>
        </w:rPr>
        <w:t>Técnicas de exposición (Tolerancia al malestar):</w:t>
      </w:r>
      <w:r w:rsidRPr="18950525">
        <w:rPr>
          <w:rFonts w:ascii="Times New Roman" w:eastAsia="Times New Roman" w:hAnsi="Times New Roman" w:cs="Times New Roman"/>
          <w:color w:val="000000"/>
          <w:sz w:val="24"/>
          <w:szCs w:val="24"/>
        </w:rPr>
        <w:t xml:space="preserve"> Aplicación clínica del ejercicio </w:t>
      </w:r>
      <w:r w:rsidRPr="18950525">
        <w:rPr>
          <w:rFonts w:ascii="Times New Roman" w:eastAsia="Times New Roman" w:hAnsi="Times New Roman" w:cs="Times New Roman"/>
          <w:i/>
          <w:iCs/>
          <w:color w:val="000000"/>
          <w:sz w:val="24"/>
          <w:szCs w:val="24"/>
        </w:rPr>
        <w:t>Mindfulness de las emociones actuales</w:t>
      </w:r>
      <w:r w:rsidRPr="18950525">
        <w:rPr>
          <w:rFonts w:ascii="Times New Roman" w:eastAsia="Times New Roman" w:hAnsi="Times New Roman" w:cs="Times New Roman"/>
          <w:color w:val="000000"/>
          <w:sz w:val="24"/>
          <w:szCs w:val="24"/>
        </w:rPr>
        <w:t xml:space="preserve">, el cual funciona como una exposición emocional en vivo. Se guía a la paciente para sostener la quietud física en el consultorio ante la aparición de pensamientos catastróficos sobre su hija, entrenando su capacidad para tolerar la urgencia de huida sin recurrir a su escudo conductual (ocuparse en otras tareas). </w:t>
      </w:r>
    </w:p>
    <w:p w14:paraId="00000068" w14:textId="77777777" w:rsidR="00273BEE" w:rsidRDefault="18950525" w:rsidP="18950525">
      <w:pPr>
        <w:numPr>
          <w:ilvl w:val="0"/>
          <w:numId w:val="4"/>
        </w:numPr>
        <w:pBdr>
          <w:top w:val="nil"/>
          <w:left w:val="nil"/>
          <w:bottom w:val="nil"/>
          <w:right w:val="nil"/>
          <w:between w:val="nil"/>
        </w:pBdr>
        <w:spacing w:after="240" w:line="360" w:lineRule="auto"/>
        <w:jc w:val="both"/>
        <w:rPr>
          <w:rFonts w:ascii="Times New Roman" w:eastAsia="Times New Roman" w:hAnsi="Times New Roman" w:cs="Times New Roman"/>
          <w:color w:val="000000"/>
          <w:sz w:val="24"/>
          <w:szCs w:val="24"/>
        </w:rPr>
      </w:pPr>
      <w:r w:rsidRPr="18950525">
        <w:rPr>
          <w:rFonts w:ascii="Times New Roman" w:eastAsia="Times New Roman" w:hAnsi="Times New Roman" w:cs="Times New Roman"/>
          <w:b/>
          <w:bCs/>
          <w:color w:val="000000"/>
          <w:sz w:val="24"/>
          <w:szCs w:val="24"/>
        </w:rPr>
        <w:t>Validación Radical y Reestructuración:</w:t>
      </w:r>
      <w:r w:rsidRPr="18950525">
        <w:rPr>
          <w:rFonts w:ascii="Times New Roman" w:eastAsia="Times New Roman" w:hAnsi="Times New Roman" w:cs="Times New Roman"/>
          <w:color w:val="000000"/>
          <w:sz w:val="24"/>
          <w:szCs w:val="24"/>
        </w:rPr>
        <w:t xml:space="preserve"> Empleo del diálogo socrático y la validación clínica (Niveles 4 y 6) para identificar y flexibilizar las creencias de hiperresponsabilidad y culpa (infundadas previamente por un consejero pastoral), ayudándola a soltar la carga de tener que resolver los problemas de toda su familia extensa. </w:t>
      </w:r>
    </w:p>
    <w:p w14:paraId="00000069" w14:textId="77777777" w:rsidR="00273BEE" w:rsidRDefault="18950525" w:rsidP="18950525">
      <w:pPr>
        <w:spacing w:after="240" w:line="360" w:lineRule="auto"/>
        <w:jc w:val="both"/>
        <w:rPr>
          <w:rFonts w:ascii="Times New Roman" w:eastAsia="Times New Roman" w:hAnsi="Times New Roman" w:cs="Times New Roman"/>
          <w:b/>
          <w:bCs/>
          <w:sz w:val="24"/>
          <w:szCs w:val="24"/>
        </w:rPr>
      </w:pPr>
      <w:r w:rsidRPr="18950525">
        <w:rPr>
          <w:rFonts w:ascii="Times New Roman" w:eastAsia="Times New Roman" w:hAnsi="Times New Roman" w:cs="Times New Roman"/>
          <w:b/>
          <w:bCs/>
          <w:sz w:val="24"/>
          <w:szCs w:val="24"/>
        </w:rPr>
        <w:t>Fundamentación teórica:</w:t>
      </w:r>
    </w:p>
    <w:p w14:paraId="0000006A" w14:textId="77777777" w:rsidR="00273BEE" w:rsidRDefault="18950525" w:rsidP="18950525">
      <w:pPr>
        <w:numPr>
          <w:ilvl w:val="0"/>
          <w:numId w:val="9"/>
        </w:numPr>
        <w:pBdr>
          <w:top w:val="nil"/>
          <w:left w:val="nil"/>
          <w:bottom w:val="nil"/>
          <w:right w:val="nil"/>
          <w:between w:val="nil"/>
        </w:pBdr>
        <w:spacing w:line="360" w:lineRule="auto"/>
        <w:jc w:val="both"/>
        <w:rPr>
          <w:rFonts w:ascii="Times New Roman" w:eastAsia="Times New Roman" w:hAnsi="Times New Roman" w:cs="Times New Roman"/>
          <w:b/>
          <w:bCs/>
          <w:color w:val="000000"/>
          <w:sz w:val="24"/>
          <w:szCs w:val="24"/>
        </w:rPr>
      </w:pPr>
      <w:r w:rsidRPr="18950525">
        <w:rPr>
          <w:rFonts w:ascii="Times New Roman" w:eastAsia="Times New Roman" w:hAnsi="Times New Roman" w:cs="Times New Roman"/>
          <w:color w:val="000000"/>
          <w:sz w:val="24"/>
          <w:szCs w:val="24"/>
        </w:rPr>
        <w:t xml:space="preserve">La problemática identificada se fundamenta en los postulados de la Terapia de Aceptación y Compromiso (ACT) y la Terapia Dialéctico Conductual (DBT). Desde ACT, el cuadro de Florcita se conceptualiza como un ciclo de severa </w:t>
      </w:r>
      <w:r w:rsidRPr="18950525">
        <w:rPr>
          <w:rFonts w:ascii="Times New Roman" w:eastAsia="Times New Roman" w:hAnsi="Times New Roman" w:cs="Times New Roman"/>
          <w:i/>
          <w:iCs/>
          <w:color w:val="000000"/>
          <w:sz w:val="24"/>
          <w:szCs w:val="24"/>
        </w:rPr>
        <w:t>evitación experiencial</w:t>
      </w:r>
      <w:r w:rsidRPr="18950525">
        <w:rPr>
          <w:rFonts w:ascii="Times New Roman" w:eastAsia="Times New Roman" w:hAnsi="Times New Roman" w:cs="Times New Roman"/>
          <w:color w:val="000000"/>
          <w:sz w:val="24"/>
          <w:szCs w:val="24"/>
        </w:rPr>
        <w:t xml:space="preserve"> y </w:t>
      </w:r>
      <w:r w:rsidRPr="18950525">
        <w:rPr>
          <w:rFonts w:ascii="Times New Roman" w:eastAsia="Times New Roman" w:hAnsi="Times New Roman" w:cs="Times New Roman"/>
          <w:i/>
          <w:iCs/>
          <w:color w:val="000000"/>
          <w:sz w:val="24"/>
          <w:szCs w:val="24"/>
        </w:rPr>
        <w:t>fusión cognitiva</w:t>
      </w:r>
      <w:r w:rsidRPr="18950525">
        <w:rPr>
          <w:rFonts w:ascii="Times New Roman" w:eastAsia="Times New Roman" w:hAnsi="Times New Roman" w:cs="Times New Roman"/>
          <w:color w:val="000000"/>
          <w:sz w:val="24"/>
          <w:szCs w:val="24"/>
        </w:rPr>
        <w:t xml:space="preserve">, donde la paciente se aferra a la creencia de que es la única responsable del bienestar familiar, intentando suprimir su propio dolor frente al divorcio de su hija mediante un activismo agotador. Complementariamente, la Teoría Biosocial de DBT (Boggiano, J., &amp; Gagliesi 2020) explica cómo la alta vulnerabilidad emocional de la paciente, al interactuar con la invalidación de su entorno (el terapeuta pastoral que la culpabilizó), le impidió desarrollar estrategias efectivas de tolerancia al malestar, obligándola a refugiarse en la "Mente del Hacer" y bloqueando el acceso a su "Mente Sabia". </w:t>
      </w:r>
    </w:p>
    <w:p w14:paraId="0000006B" w14:textId="77777777" w:rsidR="00273BEE" w:rsidRDefault="18950525" w:rsidP="18950525">
      <w:pPr>
        <w:numPr>
          <w:ilvl w:val="0"/>
          <w:numId w:val="9"/>
        </w:numPr>
        <w:pBdr>
          <w:top w:val="nil"/>
          <w:left w:val="nil"/>
          <w:bottom w:val="nil"/>
          <w:right w:val="nil"/>
          <w:between w:val="nil"/>
        </w:pBdr>
        <w:spacing w:line="360" w:lineRule="auto"/>
        <w:jc w:val="both"/>
        <w:rPr>
          <w:rFonts w:ascii="Times New Roman" w:eastAsia="Times New Roman" w:hAnsi="Times New Roman" w:cs="Times New Roman"/>
          <w:b/>
          <w:bCs/>
          <w:color w:val="000000"/>
          <w:sz w:val="24"/>
          <w:szCs w:val="24"/>
        </w:rPr>
      </w:pPr>
      <w:r w:rsidRPr="18950525">
        <w:rPr>
          <w:rFonts w:ascii="Times New Roman" w:eastAsia="Times New Roman" w:hAnsi="Times New Roman" w:cs="Times New Roman"/>
          <w:color w:val="000000"/>
          <w:sz w:val="24"/>
          <w:szCs w:val="24"/>
        </w:rPr>
        <w:t xml:space="preserve">A nivel institucional y normativo, la pertinencia de las estrategias seleccionadas se ampara en la "Guía de Práctica Clínica del diagnóstico y tratamiento del Trastorno de Ansiedad en emergencia" del Ministerio de Salud del Perú (MINSA). Si bien la </w:t>
      </w:r>
      <w:r w:rsidRPr="18950525">
        <w:rPr>
          <w:rFonts w:ascii="Times New Roman" w:eastAsia="Times New Roman" w:hAnsi="Times New Roman" w:cs="Times New Roman"/>
          <w:color w:val="000000"/>
          <w:sz w:val="24"/>
          <w:szCs w:val="24"/>
        </w:rPr>
        <w:lastRenderedPageBreak/>
        <w:t>atención de la consultante se desarrolló en un contexto de consejería externa, la aplicación de los lineamientos de esta guía resulta clínicamente pertinente dado que Florecita acudió a las sesiones experimentando una sintomatología aguda asimilable a una crisis de ansiedad, evidenciada por una opresión torácica severa, desborde en llanto y un alto nivel de tensión autonómica. Siguiendo las recomendaciones de dicha normativa para el manejo no farmacológico de la desregulación aguda, se priorizó la contención emocional inmediata y el entrenamiento en técnicas de atención plena (Mindfulness) para lograr la estabilización de sus síntomas somáticos y reducir la hiperactivación fisiológica, estableciendo así las bases necesarias para abordar posteriormente la rigidez cognitiva.</w:t>
      </w:r>
    </w:p>
    <w:p w14:paraId="0000006C" w14:textId="77777777" w:rsidR="00273BEE" w:rsidRDefault="18950525" w:rsidP="18950525">
      <w:pPr>
        <w:numPr>
          <w:ilvl w:val="0"/>
          <w:numId w:val="9"/>
        </w:numPr>
        <w:pBdr>
          <w:top w:val="nil"/>
          <w:left w:val="nil"/>
          <w:bottom w:val="nil"/>
          <w:right w:val="nil"/>
          <w:between w:val="nil"/>
        </w:pBdr>
        <w:spacing w:line="360" w:lineRule="auto"/>
        <w:jc w:val="both"/>
        <w:rPr>
          <w:rFonts w:ascii="Times New Roman" w:eastAsia="Times New Roman" w:hAnsi="Times New Roman" w:cs="Times New Roman"/>
          <w:b/>
          <w:bCs/>
          <w:color w:val="000000"/>
          <w:sz w:val="24"/>
          <w:szCs w:val="24"/>
        </w:rPr>
      </w:pPr>
      <w:r w:rsidRPr="18950525">
        <w:rPr>
          <w:rFonts w:ascii="Times New Roman" w:eastAsia="Times New Roman" w:hAnsi="Times New Roman" w:cs="Times New Roman"/>
          <w:color w:val="000000"/>
          <w:sz w:val="24"/>
          <w:szCs w:val="24"/>
        </w:rPr>
        <w:t xml:space="preserve">Para complementar esta fundamentación clínica, se integran las siguientes investigaciones científicas recientes que aportan directamente al análisis y abordaje del caso: </w:t>
      </w:r>
    </w:p>
    <w:p w14:paraId="0000006D" w14:textId="77777777" w:rsidR="00273BEE" w:rsidRDefault="18950525" w:rsidP="18950525">
      <w:pPr>
        <w:numPr>
          <w:ilvl w:val="0"/>
          <w:numId w:val="9"/>
        </w:numPr>
        <w:pBdr>
          <w:top w:val="nil"/>
          <w:left w:val="nil"/>
          <w:bottom w:val="nil"/>
          <w:right w:val="nil"/>
          <w:between w:val="nil"/>
        </w:pBdr>
        <w:spacing w:line="360" w:lineRule="auto"/>
        <w:jc w:val="both"/>
        <w:rPr>
          <w:rFonts w:ascii="Times New Roman" w:eastAsia="Times New Roman" w:hAnsi="Times New Roman" w:cs="Times New Roman"/>
          <w:b/>
          <w:bCs/>
          <w:color w:val="000000"/>
          <w:sz w:val="24"/>
          <w:szCs w:val="24"/>
        </w:rPr>
      </w:pPr>
      <w:r w:rsidRPr="18950525">
        <w:rPr>
          <w:rFonts w:ascii="Times New Roman" w:eastAsia="Times New Roman" w:hAnsi="Times New Roman" w:cs="Times New Roman"/>
          <w:b/>
          <w:bCs/>
          <w:color w:val="000000"/>
          <w:sz w:val="24"/>
          <w:szCs w:val="24"/>
        </w:rPr>
        <w:t>Rizvi, Hughes y Thomas (2016)</w:t>
      </w:r>
      <w:r w:rsidRPr="18950525">
        <w:rPr>
          <w:rFonts w:ascii="Times New Roman" w:eastAsia="Times New Roman" w:hAnsi="Times New Roman" w:cs="Times New Roman"/>
          <w:color w:val="000000"/>
          <w:sz w:val="24"/>
          <w:szCs w:val="24"/>
        </w:rPr>
        <w:t xml:space="preserve"> investigaron la efectividad del uso de las habilidades DBT en el entorno cotidiano (</w:t>
      </w:r>
      <w:r w:rsidRPr="18950525">
        <w:rPr>
          <w:rFonts w:ascii="Times New Roman" w:eastAsia="Times New Roman" w:hAnsi="Times New Roman" w:cs="Times New Roman"/>
          <w:i/>
          <w:iCs/>
          <w:color w:val="000000"/>
          <w:sz w:val="24"/>
          <w:szCs w:val="24"/>
        </w:rPr>
        <w:t>real world</w:t>
      </w:r>
      <w:r w:rsidRPr="18950525">
        <w:rPr>
          <w:rFonts w:ascii="Times New Roman" w:eastAsia="Times New Roman" w:hAnsi="Times New Roman" w:cs="Times New Roman"/>
          <w:color w:val="000000"/>
          <w:sz w:val="24"/>
          <w:szCs w:val="24"/>
        </w:rPr>
        <w:t xml:space="preserve">), evidenciando que la aplicación diaria de las técnicas de </w:t>
      </w:r>
      <w:r w:rsidRPr="18950525">
        <w:rPr>
          <w:rFonts w:ascii="Times New Roman" w:eastAsia="Times New Roman" w:hAnsi="Times New Roman" w:cs="Times New Roman"/>
          <w:i/>
          <w:iCs/>
          <w:color w:val="000000"/>
          <w:sz w:val="24"/>
          <w:szCs w:val="24"/>
        </w:rPr>
        <w:t>Mindfulness</w:t>
      </w:r>
      <w:r w:rsidRPr="18950525">
        <w:rPr>
          <w:rFonts w:ascii="Times New Roman" w:eastAsia="Times New Roman" w:hAnsi="Times New Roman" w:cs="Times New Roman"/>
          <w:color w:val="000000"/>
          <w:sz w:val="24"/>
          <w:szCs w:val="24"/>
        </w:rPr>
        <w:t xml:space="preserve"> y </w:t>
      </w:r>
      <w:r w:rsidRPr="18950525">
        <w:rPr>
          <w:rFonts w:ascii="Times New Roman" w:eastAsia="Times New Roman" w:hAnsi="Times New Roman" w:cs="Times New Roman"/>
          <w:i/>
          <w:iCs/>
          <w:color w:val="000000"/>
          <w:sz w:val="24"/>
          <w:szCs w:val="24"/>
        </w:rPr>
        <w:t>Tolerancia al Malestar</w:t>
      </w:r>
      <w:r w:rsidRPr="18950525">
        <w:rPr>
          <w:rFonts w:ascii="Times New Roman" w:eastAsia="Times New Roman" w:hAnsi="Times New Roman" w:cs="Times New Roman"/>
          <w:color w:val="000000"/>
          <w:sz w:val="24"/>
          <w:szCs w:val="24"/>
        </w:rPr>
        <w:t xml:space="preserve"> son los predictores más fuertes para la reducción de la desregulación emocional aguda en pacientes adultos. Este estudio valida directamente la asignación de la ficha intersesión </w:t>
      </w:r>
      <w:r w:rsidRPr="18950525">
        <w:rPr>
          <w:rFonts w:ascii="Times New Roman" w:eastAsia="Times New Roman" w:hAnsi="Times New Roman" w:cs="Times New Roman"/>
          <w:i/>
          <w:iCs/>
          <w:color w:val="000000"/>
          <w:sz w:val="24"/>
          <w:szCs w:val="24"/>
        </w:rPr>
        <w:t>"Mi Espacio de Pausa y Calma"</w:t>
      </w:r>
      <w:r w:rsidRPr="18950525">
        <w:rPr>
          <w:rFonts w:ascii="Times New Roman" w:eastAsia="Times New Roman" w:hAnsi="Times New Roman" w:cs="Times New Roman"/>
          <w:color w:val="000000"/>
          <w:sz w:val="24"/>
          <w:szCs w:val="24"/>
        </w:rPr>
        <w:t xml:space="preserve"> (10 minutos diarios) a Florcita, demostrando que la práctica en casa es fundamental para disminuir la hiperactivación somática (opresión torácica). </w:t>
      </w:r>
    </w:p>
    <w:p w14:paraId="4D1C7CBB" w14:textId="77777777" w:rsidR="00273BEE" w:rsidRDefault="18950525" w:rsidP="18950525">
      <w:pPr>
        <w:numPr>
          <w:ilvl w:val="0"/>
          <w:numId w:val="4"/>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18950525">
        <w:rPr>
          <w:rFonts w:ascii="Times New Roman" w:eastAsia="Times New Roman" w:hAnsi="Times New Roman" w:cs="Times New Roman"/>
          <w:color w:val="000000"/>
          <w:sz w:val="24"/>
          <w:szCs w:val="24"/>
        </w:rPr>
        <w:t xml:space="preserve">Por otro lado, </w:t>
      </w:r>
      <w:r w:rsidRPr="18950525">
        <w:rPr>
          <w:rFonts w:ascii="Times New Roman" w:eastAsia="Times New Roman" w:hAnsi="Times New Roman" w:cs="Times New Roman"/>
          <w:b/>
          <w:bCs/>
          <w:color w:val="000000"/>
          <w:sz w:val="24"/>
          <w:szCs w:val="24"/>
        </w:rPr>
        <w:t>Navarro-Haro et al. (2018)</w:t>
      </w:r>
      <w:r w:rsidRPr="18950525">
        <w:rPr>
          <w:rFonts w:ascii="Times New Roman" w:eastAsia="Times New Roman" w:hAnsi="Times New Roman" w:cs="Times New Roman"/>
          <w:color w:val="000000"/>
          <w:sz w:val="24"/>
          <w:szCs w:val="24"/>
        </w:rPr>
        <w:t xml:space="preserve"> demostraron en su estudio empírico que el entrenamiento estructurado en las habilidades "Qué" (observar, describir) y "Cómo" (no juzgar, una cosa a la vez) del Mindfulness facilita la habituación directa del sistema nervioso parasimpático. Esto fundamenta la técnica de exposición utilizada en la sesión 3, ya que explica a nivel neurobiológico cómo Florecita logra sostener el malestar emocional y disminuir su tensión física al anclarse en el presente, desactivando su necesidad compulsiva de evitación conductual. </w:t>
      </w:r>
    </w:p>
    <w:p w14:paraId="0000006F" w14:textId="6C9F2BDF" w:rsidR="00273BEE" w:rsidRDefault="18950525" w:rsidP="18950525">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18950525">
        <w:rPr>
          <w:rFonts w:ascii="Times New Roman" w:eastAsia="Times New Roman" w:hAnsi="Times New Roman" w:cs="Times New Roman"/>
          <w:b/>
          <w:bCs/>
          <w:color w:val="000000" w:themeColor="text1"/>
          <w:sz w:val="24"/>
          <w:szCs w:val="24"/>
        </w:rPr>
        <w:t>Seguimiento:</w:t>
      </w:r>
    </w:p>
    <w:p w14:paraId="00000070" w14:textId="77777777" w:rsidR="00273BEE" w:rsidRDefault="18950525" w:rsidP="18950525">
      <w:pPr>
        <w:numPr>
          <w:ilvl w:val="0"/>
          <w:numId w:val="4"/>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18950525">
        <w:rPr>
          <w:rFonts w:ascii="Times New Roman" w:eastAsia="Times New Roman" w:hAnsi="Times New Roman" w:cs="Times New Roman"/>
          <w:color w:val="000000"/>
          <w:sz w:val="24"/>
          <w:szCs w:val="24"/>
        </w:rPr>
        <w:t xml:space="preserve">La evaluación de la mejoría clínica se realizará y verificará mediante los siguientes criterios: </w:t>
      </w:r>
    </w:p>
    <w:p w14:paraId="00000071" w14:textId="77777777" w:rsidR="00273BEE" w:rsidRDefault="18950525" w:rsidP="18950525">
      <w:pPr>
        <w:numPr>
          <w:ilvl w:val="0"/>
          <w:numId w:val="4"/>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18950525">
        <w:rPr>
          <w:rFonts w:ascii="Times New Roman" w:eastAsia="Times New Roman" w:hAnsi="Times New Roman" w:cs="Times New Roman"/>
          <w:b/>
          <w:bCs/>
          <w:color w:val="000000"/>
          <w:sz w:val="24"/>
          <w:szCs w:val="24"/>
        </w:rPr>
        <w:t>Disminución de síntomas:</w:t>
      </w:r>
      <w:r w:rsidRPr="18950525">
        <w:rPr>
          <w:rFonts w:ascii="Times New Roman" w:eastAsia="Times New Roman" w:hAnsi="Times New Roman" w:cs="Times New Roman"/>
          <w:color w:val="000000"/>
          <w:sz w:val="24"/>
          <w:szCs w:val="24"/>
        </w:rPr>
        <w:t xml:space="preserve"> Evaluada a través del autoreporte subjetivo del nivel de malestar (escala SUDs de 0 a 10) al inicio de cada sesión, esperando una reducción </w:t>
      </w:r>
      <w:r w:rsidRPr="18950525">
        <w:rPr>
          <w:rFonts w:ascii="Times New Roman" w:eastAsia="Times New Roman" w:hAnsi="Times New Roman" w:cs="Times New Roman"/>
          <w:color w:val="000000"/>
          <w:sz w:val="24"/>
          <w:szCs w:val="24"/>
        </w:rPr>
        <w:lastRenderedPageBreak/>
        <w:t xml:space="preserve">significativa en la percepción de opresión en el pecho y un incremento en la cantidad de horas de sueño ininterrumpido. </w:t>
      </w:r>
    </w:p>
    <w:p w14:paraId="00000072" w14:textId="77777777" w:rsidR="00273BEE" w:rsidRDefault="18950525" w:rsidP="18950525">
      <w:pPr>
        <w:numPr>
          <w:ilvl w:val="0"/>
          <w:numId w:val="4"/>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18950525">
        <w:rPr>
          <w:rFonts w:ascii="Times New Roman" w:eastAsia="Times New Roman" w:hAnsi="Times New Roman" w:cs="Times New Roman"/>
          <w:b/>
          <w:bCs/>
          <w:color w:val="000000"/>
          <w:sz w:val="24"/>
          <w:szCs w:val="24"/>
        </w:rPr>
        <w:t>Cambios conductuales observables:</w:t>
      </w:r>
      <w:r w:rsidRPr="18950525">
        <w:rPr>
          <w:rFonts w:ascii="Times New Roman" w:eastAsia="Times New Roman" w:hAnsi="Times New Roman" w:cs="Times New Roman"/>
          <w:color w:val="000000"/>
          <w:sz w:val="24"/>
          <w:szCs w:val="24"/>
        </w:rPr>
        <w:t xml:space="preserve"> Capacidad progresiva de la paciente para tolerar los silencios durante la sesión sin desbordarse en llanto o sin intentar cambiar rápidamente de tema hacia tareas pendientes. Asimismo, la revisión del registro intersesión (</w:t>
      </w:r>
      <w:r w:rsidRPr="18950525">
        <w:rPr>
          <w:rFonts w:ascii="Times New Roman" w:eastAsia="Times New Roman" w:hAnsi="Times New Roman" w:cs="Times New Roman"/>
          <w:i/>
          <w:iCs/>
          <w:color w:val="000000"/>
          <w:sz w:val="24"/>
          <w:szCs w:val="24"/>
        </w:rPr>
        <w:t>Mi Espacio de Pausa y Calma</w:t>
      </w:r>
      <w:r w:rsidRPr="18950525">
        <w:rPr>
          <w:rFonts w:ascii="Times New Roman" w:eastAsia="Times New Roman" w:hAnsi="Times New Roman" w:cs="Times New Roman"/>
          <w:color w:val="000000"/>
          <w:sz w:val="24"/>
          <w:szCs w:val="24"/>
        </w:rPr>
        <w:t xml:space="preserve">) evidenciará su adherencia a permitirse momentos de inactividad voluntaria en el hogar. </w:t>
      </w:r>
    </w:p>
    <w:p w14:paraId="00000073" w14:textId="77777777" w:rsidR="00273BEE" w:rsidRDefault="18950525" w:rsidP="18950525">
      <w:pPr>
        <w:numPr>
          <w:ilvl w:val="0"/>
          <w:numId w:val="4"/>
        </w:numPr>
        <w:pBdr>
          <w:top w:val="nil"/>
          <w:left w:val="nil"/>
          <w:bottom w:val="nil"/>
          <w:right w:val="nil"/>
          <w:between w:val="nil"/>
        </w:pBdr>
        <w:spacing w:after="240" w:line="360" w:lineRule="auto"/>
        <w:jc w:val="both"/>
        <w:rPr>
          <w:rFonts w:ascii="Times New Roman" w:eastAsia="Times New Roman" w:hAnsi="Times New Roman" w:cs="Times New Roman"/>
          <w:color w:val="000000"/>
          <w:sz w:val="24"/>
          <w:szCs w:val="24"/>
        </w:rPr>
      </w:pPr>
      <w:r w:rsidRPr="18950525">
        <w:rPr>
          <w:rFonts w:ascii="Times New Roman" w:eastAsia="Times New Roman" w:hAnsi="Times New Roman" w:cs="Times New Roman"/>
          <w:b/>
          <w:bCs/>
          <w:color w:val="000000"/>
          <w:sz w:val="24"/>
          <w:szCs w:val="24"/>
        </w:rPr>
        <w:t>Habilidades de afrontamiento:</w:t>
      </w:r>
      <w:r w:rsidRPr="18950525">
        <w:rPr>
          <w:rFonts w:ascii="Times New Roman" w:eastAsia="Times New Roman" w:hAnsi="Times New Roman" w:cs="Times New Roman"/>
          <w:color w:val="000000"/>
          <w:sz w:val="24"/>
          <w:szCs w:val="24"/>
        </w:rPr>
        <w:t xml:space="preserve"> Reporte verbal positivo sobre el uso exitoso de las habilidades de </w:t>
      </w:r>
      <w:r w:rsidRPr="18950525">
        <w:rPr>
          <w:rFonts w:ascii="Times New Roman" w:eastAsia="Times New Roman" w:hAnsi="Times New Roman" w:cs="Times New Roman"/>
          <w:i/>
          <w:iCs/>
          <w:color w:val="000000"/>
          <w:sz w:val="24"/>
          <w:szCs w:val="24"/>
        </w:rPr>
        <w:t>Mindfulness de las emociones actuales</w:t>
      </w:r>
      <w:r w:rsidRPr="18950525">
        <w:rPr>
          <w:rFonts w:ascii="Times New Roman" w:eastAsia="Times New Roman" w:hAnsi="Times New Roman" w:cs="Times New Roman"/>
          <w:color w:val="000000"/>
          <w:sz w:val="24"/>
          <w:szCs w:val="24"/>
        </w:rPr>
        <w:t xml:space="preserve"> para observar sus pensamientos catastróficos (sobre el futuro de su hija) como nubes pasajeras, evitando caer en la sobreocupación compulsiva cuando estos aparezcan.</w:t>
      </w:r>
    </w:p>
    <w:p w14:paraId="00000074" w14:textId="77777777" w:rsidR="00273BEE" w:rsidRDefault="18950525" w:rsidP="18950525">
      <w:pPr>
        <w:spacing w:after="240" w:line="360" w:lineRule="auto"/>
        <w:jc w:val="both"/>
        <w:rPr>
          <w:rFonts w:ascii="Times New Roman" w:eastAsia="Times New Roman" w:hAnsi="Times New Roman" w:cs="Times New Roman"/>
          <w:b/>
          <w:bCs/>
          <w:sz w:val="24"/>
          <w:szCs w:val="24"/>
        </w:rPr>
      </w:pPr>
      <w:r w:rsidRPr="18950525">
        <w:rPr>
          <w:rFonts w:ascii="Times New Roman" w:eastAsia="Times New Roman" w:hAnsi="Times New Roman" w:cs="Times New Roman"/>
          <w:b/>
          <w:bCs/>
          <w:sz w:val="24"/>
          <w:szCs w:val="24"/>
        </w:rPr>
        <w:t>10. Análisis de los Objetivos de Desarrollo Sostenible (ODS)</w:t>
      </w:r>
    </w:p>
    <w:p w14:paraId="00000075" w14:textId="77777777" w:rsidR="00273BEE" w:rsidRDefault="18950525" w:rsidP="18950525">
      <w:pPr>
        <w:spacing w:after="240" w:line="360" w:lineRule="auto"/>
        <w:jc w:val="both"/>
        <w:rPr>
          <w:rFonts w:ascii="Times New Roman" w:eastAsia="Times New Roman" w:hAnsi="Times New Roman" w:cs="Times New Roman"/>
          <w:sz w:val="24"/>
          <w:szCs w:val="24"/>
        </w:rPr>
      </w:pPr>
      <w:r w:rsidRPr="18950525">
        <w:rPr>
          <w:rFonts w:ascii="Times New Roman" w:eastAsia="Times New Roman" w:hAnsi="Times New Roman" w:cs="Times New Roman"/>
          <w:sz w:val="24"/>
          <w:szCs w:val="24"/>
        </w:rPr>
        <w:t>A continuación, se presenta el análisis de cómo las intervenciones ejecutadas, tanto a nivel individual (caso clínico) como a nivel comunitario (talleres grupales), contribuyeron al cumplimiento de los Objetivos de Desarrollo Sostenible promovidos por el curso:</w:t>
      </w:r>
    </w:p>
    <w:p w14:paraId="00000076" w14:textId="77777777" w:rsidR="00273BEE" w:rsidRDefault="18950525" w:rsidP="18950525">
      <w:pPr>
        <w:spacing w:after="240" w:line="360" w:lineRule="auto"/>
        <w:jc w:val="both"/>
        <w:rPr>
          <w:rFonts w:ascii="Times New Roman" w:eastAsia="Times New Roman" w:hAnsi="Times New Roman" w:cs="Times New Roman"/>
          <w:b/>
          <w:bCs/>
          <w:sz w:val="24"/>
          <w:szCs w:val="24"/>
        </w:rPr>
      </w:pPr>
      <w:r w:rsidRPr="18950525">
        <w:rPr>
          <w:rFonts w:ascii="Times New Roman" w:eastAsia="Times New Roman" w:hAnsi="Times New Roman" w:cs="Times New Roman"/>
          <w:b/>
          <w:bCs/>
          <w:sz w:val="24"/>
          <w:szCs w:val="24"/>
        </w:rPr>
        <w:t>ODS 3 (Salud y bienestar):</w:t>
      </w:r>
    </w:p>
    <w:p w14:paraId="00000077" w14:textId="77777777" w:rsidR="00273BEE" w:rsidRDefault="18950525" w:rsidP="18950525">
      <w:pPr>
        <w:numPr>
          <w:ilvl w:val="0"/>
          <w:numId w:val="6"/>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18950525">
        <w:rPr>
          <w:rFonts w:ascii="Times New Roman" w:eastAsia="Times New Roman" w:hAnsi="Times New Roman" w:cs="Times New Roman"/>
          <w:b/>
          <w:bCs/>
          <w:color w:val="000000"/>
          <w:sz w:val="24"/>
          <w:szCs w:val="24"/>
        </w:rPr>
        <w:t>Consejería psicológica:</w:t>
      </w:r>
      <w:r w:rsidRPr="18950525">
        <w:rPr>
          <w:rFonts w:ascii="Times New Roman" w:eastAsia="Times New Roman" w:hAnsi="Times New Roman" w:cs="Times New Roman"/>
          <w:color w:val="000000"/>
          <w:sz w:val="24"/>
          <w:szCs w:val="24"/>
        </w:rPr>
        <w:t xml:space="preserve"> La intervención individual y acompañado con mi compañera contribuyó directamente a este objetivo al atender un caso agudo de desregulación emocional que estaba generando un severo desgaste físico en la consultante (pérdida de 10 kilos, dolor torácico crónico e insomnio). Al dotar a Florecita de habilidades de </w:t>
      </w:r>
      <w:r w:rsidRPr="18950525">
        <w:rPr>
          <w:rFonts w:ascii="Times New Roman" w:eastAsia="Times New Roman" w:hAnsi="Times New Roman" w:cs="Times New Roman"/>
          <w:i/>
          <w:iCs/>
          <w:color w:val="000000"/>
          <w:sz w:val="24"/>
          <w:szCs w:val="24"/>
        </w:rPr>
        <w:t>Mindfulness</w:t>
      </w:r>
      <w:r w:rsidRPr="18950525">
        <w:rPr>
          <w:rFonts w:ascii="Times New Roman" w:eastAsia="Times New Roman" w:hAnsi="Times New Roman" w:cs="Times New Roman"/>
          <w:color w:val="000000"/>
          <w:sz w:val="24"/>
          <w:szCs w:val="24"/>
        </w:rPr>
        <w:t xml:space="preserve"> y tolerancia al malestar, se logró estabilizar sus parámetros de ansiedad reactiva, deteniendo el deterioro somático y fomentando la recuperación de su salud integral.</w:t>
      </w:r>
    </w:p>
    <w:p w14:paraId="00000078" w14:textId="77777777" w:rsidR="00273BEE" w:rsidRDefault="18950525" w:rsidP="18950525">
      <w:pPr>
        <w:numPr>
          <w:ilvl w:val="0"/>
          <w:numId w:val="6"/>
        </w:numPr>
        <w:pBdr>
          <w:top w:val="nil"/>
          <w:left w:val="nil"/>
          <w:bottom w:val="nil"/>
          <w:right w:val="nil"/>
          <w:between w:val="nil"/>
        </w:pBdr>
        <w:spacing w:after="240" w:line="360" w:lineRule="auto"/>
        <w:jc w:val="both"/>
        <w:rPr>
          <w:rFonts w:ascii="Times New Roman" w:eastAsia="Times New Roman" w:hAnsi="Times New Roman" w:cs="Times New Roman"/>
          <w:color w:val="000000"/>
          <w:sz w:val="24"/>
          <w:szCs w:val="24"/>
        </w:rPr>
      </w:pPr>
      <w:r w:rsidRPr="18950525">
        <w:rPr>
          <w:rFonts w:ascii="Times New Roman" w:eastAsia="Times New Roman" w:hAnsi="Times New Roman" w:cs="Times New Roman"/>
          <w:b/>
          <w:bCs/>
          <w:color w:val="000000"/>
          <w:sz w:val="24"/>
          <w:szCs w:val="24"/>
        </w:rPr>
        <w:t>Talleres grupales:</w:t>
      </w:r>
      <w:r w:rsidRPr="18950525">
        <w:rPr>
          <w:rFonts w:ascii="Times New Roman" w:eastAsia="Times New Roman" w:hAnsi="Times New Roman" w:cs="Times New Roman"/>
          <w:color w:val="000000"/>
          <w:sz w:val="24"/>
          <w:szCs w:val="24"/>
        </w:rPr>
        <w:t xml:space="preserve"> A nivel comunitario, se promovió el bienestar psicológico mediante la ejecución de dos talleres en el Club del Vecino Los Precursores, dirigidos a la población adulta mayor. A través de la enseñanza de habilidades de la Terapia Dialéctico Conductual (DBT), como la "Mente Sabia" y la "Verificación de Hechos", se capacitó a los asistentes para reconocer sus emociones, equilibrar la razón con la emoción y diferenciar los hechos objetivos de las interpretaciones personales. Estas estrategias preventivas mitigaron el estrés y fomentaron un envejecimiento activo y saludable en la comunidad. </w:t>
      </w:r>
    </w:p>
    <w:p w14:paraId="00000079" w14:textId="77777777" w:rsidR="00273BEE" w:rsidRDefault="18950525" w:rsidP="18950525">
      <w:pPr>
        <w:spacing w:after="240" w:line="360" w:lineRule="auto"/>
        <w:jc w:val="both"/>
        <w:rPr>
          <w:rFonts w:ascii="Times New Roman" w:eastAsia="Times New Roman" w:hAnsi="Times New Roman" w:cs="Times New Roman"/>
          <w:b/>
          <w:bCs/>
          <w:sz w:val="24"/>
          <w:szCs w:val="24"/>
        </w:rPr>
      </w:pPr>
      <w:r w:rsidRPr="18950525">
        <w:rPr>
          <w:rFonts w:ascii="Times New Roman" w:eastAsia="Times New Roman" w:hAnsi="Times New Roman" w:cs="Times New Roman"/>
          <w:b/>
          <w:bCs/>
          <w:sz w:val="24"/>
          <w:szCs w:val="24"/>
        </w:rPr>
        <w:lastRenderedPageBreak/>
        <w:t>ODS 4 (Educación de calidad):</w:t>
      </w:r>
    </w:p>
    <w:p w14:paraId="0000007A" w14:textId="77777777" w:rsidR="00273BEE" w:rsidRDefault="18950525" w:rsidP="18950525">
      <w:pPr>
        <w:numPr>
          <w:ilvl w:val="0"/>
          <w:numId w:val="7"/>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18950525">
        <w:rPr>
          <w:rFonts w:ascii="Times New Roman" w:eastAsia="Times New Roman" w:hAnsi="Times New Roman" w:cs="Times New Roman"/>
          <w:b/>
          <w:bCs/>
          <w:color w:val="000000"/>
          <w:sz w:val="24"/>
          <w:szCs w:val="24"/>
        </w:rPr>
        <w:t>Consejería psicológica:</w:t>
      </w:r>
      <w:r w:rsidRPr="18950525">
        <w:rPr>
          <w:rFonts w:ascii="Times New Roman" w:eastAsia="Times New Roman" w:hAnsi="Times New Roman" w:cs="Times New Roman"/>
          <w:color w:val="000000"/>
          <w:sz w:val="24"/>
          <w:szCs w:val="24"/>
        </w:rPr>
        <w:t xml:space="preserve"> Este caso refleja el resultado de una educación universitaria rigurosa, permitiéndome llevar la teoría a la práctica mediante la aplicación de protocolos clínicos basados en evidencia (ACT y DBT). Asimismo, el proceso de psicoeducación brindado a la paciente cumplió un rol alfabetizador, democratizando el conocimiento científico al explicarle de manera accesible cómo la "evitación experiencial" mantenía su sufrimiento.</w:t>
      </w:r>
    </w:p>
    <w:p w14:paraId="0000007B" w14:textId="77777777" w:rsidR="00273BEE" w:rsidRDefault="18950525" w:rsidP="18950525">
      <w:pPr>
        <w:numPr>
          <w:ilvl w:val="0"/>
          <w:numId w:val="7"/>
        </w:numPr>
        <w:pBdr>
          <w:top w:val="nil"/>
          <w:left w:val="nil"/>
          <w:bottom w:val="nil"/>
          <w:right w:val="nil"/>
          <w:between w:val="nil"/>
        </w:pBdr>
        <w:spacing w:after="240" w:line="360" w:lineRule="auto"/>
        <w:jc w:val="both"/>
        <w:rPr>
          <w:rFonts w:ascii="Times New Roman" w:eastAsia="Times New Roman" w:hAnsi="Times New Roman" w:cs="Times New Roman"/>
          <w:color w:val="000000"/>
          <w:sz w:val="24"/>
          <w:szCs w:val="24"/>
        </w:rPr>
      </w:pPr>
      <w:r w:rsidRPr="18950525">
        <w:rPr>
          <w:rFonts w:ascii="Times New Roman" w:eastAsia="Times New Roman" w:hAnsi="Times New Roman" w:cs="Times New Roman"/>
          <w:b/>
          <w:bCs/>
          <w:color w:val="000000"/>
          <w:sz w:val="24"/>
          <w:szCs w:val="24"/>
        </w:rPr>
        <w:t>Talleres grupales:</w:t>
      </w:r>
      <w:r w:rsidRPr="18950525">
        <w:rPr>
          <w:rFonts w:ascii="Times New Roman" w:eastAsia="Times New Roman" w:hAnsi="Times New Roman" w:cs="Times New Roman"/>
          <w:color w:val="000000"/>
          <w:sz w:val="24"/>
          <w:szCs w:val="24"/>
        </w:rPr>
        <w:t xml:space="preserve"> Los talleres evidenciaron un compromiso con la educación comunitaria de calidad al adaptar conceptos psicológicos complejos (como la regulación emocional) a un lenguaje y metodología accesibles para los adultos mayores. El uso de dinámicas lúdicas y experienciales, tales como el encestado en "cajas de colores" para diferenciar tipos de respuesta y el juego de "Bingo" de Mente Sabia, garantizó que el aprendizaje fuera significativo, participativo y directamente aplicable a sus situaciones cotidianas. </w:t>
      </w:r>
    </w:p>
    <w:p w14:paraId="0000007C" w14:textId="77777777" w:rsidR="00273BEE" w:rsidRDefault="18950525" w:rsidP="18950525">
      <w:pPr>
        <w:spacing w:after="240" w:line="360" w:lineRule="auto"/>
        <w:jc w:val="both"/>
        <w:rPr>
          <w:rFonts w:ascii="Times New Roman" w:eastAsia="Times New Roman" w:hAnsi="Times New Roman" w:cs="Times New Roman"/>
          <w:b/>
          <w:bCs/>
          <w:sz w:val="24"/>
          <w:szCs w:val="24"/>
        </w:rPr>
      </w:pPr>
      <w:r w:rsidRPr="18950525">
        <w:rPr>
          <w:rFonts w:ascii="Times New Roman" w:eastAsia="Times New Roman" w:hAnsi="Times New Roman" w:cs="Times New Roman"/>
          <w:b/>
          <w:bCs/>
          <w:sz w:val="24"/>
          <w:szCs w:val="24"/>
        </w:rPr>
        <w:t>ODS 5 (Igualdad de género):</w:t>
      </w:r>
    </w:p>
    <w:p w14:paraId="0000007D" w14:textId="77777777" w:rsidR="00273BEE" w:rsidRDefault="18950525" w:rsidP="18950525">
      <w:pPr>
        <w:numPr>
          <w:ilvl w:val="0"/>
          <w:numId w:val="8"/>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18950525">
        <w:rPr>
          <w:rFonts w:ascii="Times New Roman" w:eastAsia="Times New Roman" w:hAnsi="Times New Roman" w:cs="Times New Roman"/>
          <w:b/>
          <w:bCs/>
          <w:color w:val="000000"/>
          <w:sz w:val="24"/>
          <w:szCs w:val="24"/>
        </w:rPr>
        <w:t>Consejería psicológica:</w:t>
      </w:r>
      <w:r w:rsidRPr="18950525">
        <w:rPr>
          <w:rFonts w:ascii="Times New Roman" w:eastAsia="Times New Roman" w:hAnsi="Times New Roman" w:cs="Times New Roman"/>
          <w:color w:val="000000"/>
          <w:sz w:val="24"/>
          <w:szCs w:val="24"/>
        </w:rPr>
        <w:t xml:space="preserve"> La intervención abordó frontalmente las consecuencias del "marianismo" y los roles de género tradicionales que obligan a las mujeres mayores a fungir como "cuidadoras inagotables". Al validar el agotamiento de Florcita, se logró deconstruir el mandato social que le exigía priorizar los problemas de su familia extensa por encima de su propia salud, empoderándola para establecer límites y reclamar su derecho fundamental al descanso y al autocuidado.</w:t>
      </w:r>
    </w:p>
    <w:p w14:paraId="0000007E" w14:textId="77777777" w:rsidR="00273BEE" w:rsidRDefault="18950525" w:rsidP="18950525">
      <w:pPr>
        <w:numPr>
          <w:ilvl w:val="0"/>
          <w:numId w:val="8"/>
        </w:numPr>
        <w:pBdr>
          <w:top w:val="nil"/>
          <w:left w:val="nil"/>
          <w:bottom w:val="nil"/>
          <w:right w:val="nil"/>
          <w:between w:val="nil"/>
        </w:pBdr>
        <w:spacing w:after="240" w:line="360" w:lineRule="auto"/>
        <w:jc w:val="both"/>
        <w:rPr>
          <w:rFonts w:ascii="Times New Roman" w:eastAsia="Times New Roman" w:hAnsi="Times New Roman" w:cs="Times New Roman"/>
          <w:color w:val="000000"/>
          <w:sz w:val="24"/>
          <w:szCs w:val="24"/>
        </w:rPr>
      </w:pPr>
      <w:r w:rsidRPr="18950525">
        <w:rPr>
          <w:rFonts w:ascii="Times New Roman" w:eastAsia="Times New Roman" w:hAnsi="Times New Roman" w:cs="Times New Roman"/>
          <w:b/>
          <w:bCs/>
          <w:color w:val="000000"/>
          <w:sz w:val="24"/>
          <w:szCs w:val="24"/>
        </w:rPr>
        <w:t>Talleres grupales:</w:t>
      </w:r>
      <w:r w:rsidRPr="18950525">
        <w:rPr>
          <w:rFonts w:ascii="Times New Roman" w:eastAsia="Times New Roman" w:hAnsi="Times New Roman" w:cs="Times New Roman"/>
          <w:color w:val="000000"/>
          <w:sz w:val="24"/>
          <w:szCs w:val="24"/>
        </w:rPr>
        <w:t xml:space="preserve"> Al ejecutarse en fechas altamente significativas para la dinámica familiar, como las celebraciones del Día de la Madre y el Día del Padre en el centro comunitario, los talleres abrieron un espacio seguro para reflexionar sobre las cargas emocionales asociadas a los roles de crianza y cuidado. Se fomentó que los asistentes, especialmente las mujeres que históricamente han relegado sus necesidades por atender a sus familias, reconozcan sus propias emociones como señales válidas que merecen atención y cuidado, promoviendo la equidad en el derecho al bienestar emocional.</w:t>
      </w:r>
    </w:p>
    <w:p w14:paraId="0000007F" w14:textId="77777777" w:rsidR="00273BEE" w:rsidRDefault="00273BEE" w:rsidP="18950525">
      <w:pPr>
        <w:spacing w:after="240" w:line="360" w:lineRule="auto"/>
        <w:jc w:val="both"/>
        <w:rPr>
          <w:rFonts w:ascii="Times New Roman" w:eastAsia="Times New Roman" w:hAnsi="Times New Roman" w:cs="Times New Roman"/>
          <w:sz w:val="24"/>
          <w:szCs w:val="24"/>
        </w:rPr>
      </w:pPr>
    </w:p>
    <w:p w14:paraId="00000080" w14:textId="77777777" w:rsidR="00273BEE" w:rsidRDefault="00000000">
      <w:pPr>
        <w:pStyle w:val="Ttulo3"/>
        <w:keepNext w:val="0"/>
        <w:keepLines w:val="0"/>
        <w:widowControl w:val="0"/>
        <w:spacing w:before="0" w:after="240" w:line="360" w:lineRule="auto"/>
        <w:jc w:val="both"/>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11. Conclusión y reflexión profesional</w:t>
      </w:r>
    </w:p>
    <w:p w14:paraId="00000081" w14:textId="77777777" w:rsidR="00273BEE" w:rsidRDefault="18950525" w:rsidP="18950525">
      <w:pPr>
        <w:spacing w:before="240" w:after="240" w:line="360" w:lineRule="auto"/>
        <w:jc w:val="both"/>
        <w:rPr>
          <w:rFonts w:ascii="Times New Roman" w:eastAsia="Times New Roman" w:hAnsi="Times New Roman" w:cs="Times New Roman"/>
          <w:sz w:val="24"/>
          <w:szCs w:val="24"/>
        </w:rPr>
      </w:pPr>
      <w:r w:rsidRPr="18950525">
        <w:rPr>
          <w:rFonts w:ascii="Times New Roman" w:eastAsia="Times New Roman" w:hAnsi="Times New Roman" w:cs="Times New Roman"/>
          <w:b/>
          <w:bCs/>
          <w:sz w:val="24"/>
          <w:szCs w:val="24"/>
        </w:rPr>
        <w:lastRenderedPageBreak/>
        <w:t>Análisis del aprendizaje profesional obtenido:</w:t>
      </w:r>
      <w:r w:rsidRPr="18950525">
        <w:rPr>
          <w:rFonts w:ascii="Times New Roman" w:eastAsia="Times New Roman" w:hAnsi="Times New Roman" w:cs="Times New Roman"/>
          <w:sz w:val="24"/>
          <w:szCs w:val="24"/>
        </w:rPr>
        <w:t xml:space="preserve"> Este caso clínico subraya la inmensa complejidad de abordar la evitación experiencial y la somatización profunda del sufrimiento emocional en la etapa de adultez mayor. Se ha comprendido a profundidad cómo la asunción crónica del rol de "cuidadora inagotable" impuesto por los mandatos de género, sumada a la severa invalidación de su entorno (como el abordaje pastoral iatrogénico), logran anular el autocuidado de la paciente, llevándola hasta el agotamiento físico (pérdida de peso y dolor torácico). Esta experiencia ha evidenciado la necesidad imperativa de articular una intervención clínica que integre protocolos basados en evidencia (terapias contextuales de tercera generación) con un enfoque gerontológico, para así deconstruir la hiperresponsabilidad y la culpa arraigada.</w:t>
      </w:r>
    </w:p>
    <w:p w14:paraId="00000082" w14:textId="77777777" w:rsidR="00273BEE" w:rsidRDefault="18950525" w:rsidP="18950525">
      <w:pPr>
        <w:spacing w:before="240" w:after="240" w:line="360" w:lineRule="auto"/>
        <w:jc w:val="both"/>
        <w:rPr>
          <w:rFonts w:ascii="Times New Roman" w:eastAsia="Times New Roman" w:hAnsi="Times New Roman" w:cs="Times New Roman"/>
          <w:b/>
          <w:bCs/>
          <w:sz w:val="24"/>
          <w:szCs w:val="24"/>
        </w:rPr>
      </w:pPr>
      <w:r w:rsidRPr="18950525">
        <w:rPr>
          <w:rFonts w:ascii="Times New Roman" w:eastAsia="Times New Roman" w:hAnsi="Times New Roman" w:cs="Times New Roman"/>
          <w:b/>
          <w:bCs/>
          <w:sz w:val="24"/>
          <w:szCs w:val="24"/>
        </w:rPr>
        <w:t>Fortalezas y debilidades personales durante el proceso:</w:t>
      </w:r>
    </w:p>
    <w:p w14:paraId="00000083" w14:textId="77777777" w:rsidR="00273BEE" w:rsidRDefault="18950525" w:rsidP="18950525">
      <w:pPr>
        <w:numPr>
          <w:ilvl w:val="0"/>
          <w:numId w:val="1"/>
        </w:numPr>
        <w:pBdr>
          <w:top w:val="nil"/>
          <w:left w:val="nil"/>
          <w:bottom w:val="nil"/>
          <w:right w:val="nil"/>
          <w:between w:val="nil"/>
        </w:pBdr>
        <w:spacing w:before="240" w:line="360" w:lineRule="auto"/>
        <w:jc w:val="both"/>
        <w:rPr>
          <w:rFonts w:ascii="Times New Roman" w:eastAsia="Times New Roman" w:hAnsi="Times New Roman" w:cs="Times New Roman"/>
          <w:color w:val="000000"/>
          <w:sz w:val="24"/>
          <w:szCs w:val="24"/>
        </w:rPr>
      </w:pPr>
      <w:r w:rsidRPr="18950525">
        <w:rPr>
          <w:rFonts w:ascii="Times New Roman" w:eastAsia="Times New Roman" w:hAnsi="Times New Roman" w:cs="Times New Roman"/>
          <w:b/>
          <w:bCs/>
          <w:color w:val="000000"/>
          <w:sz w:val="24"/>
          <w:szCs w:val="24"/>
        </w:rPr>
        <w:t>Fortalezas:</w:t>
      </w:r>
      <w:r w:rsidRPr="18950525">
        <w:rPr>
          <w:rFonts w:ascii="Times New Roman" w:eastAsia="Times New Roman" w:hAnsi="Times New Roman" w:cs="Times New Roman"/>
          <w:color w:val="000000"/>
          <w:sz w:val="24"/>
          <w:szCs w:val="24"/>
        </w:rPr>
        <w:t xml:space="preserve"> Destaco mi capacidad para mantener la empatía incondicional, la validación radical y la escucha activa frente al constante desborde en llanto de la consultante. Logré establecer una sólida alianza terapéutica y adaptar conceptos complejos (</w:t>
      </w:r>
      <w:r w:rsidRPr="18950525">
        <w:rPr>
          <w:rFonts w:ascii="Times New Roman" w:eastAsia="Times New Roman" w:hAnsi="Times New Roman" w:cs="Times New Roman"/>
          <w:i/>
          <w:iCs/>
          <w:color w:val="000000"/>
          <w:sz w:val="24"/>
          <w:szCs w:val="24"/>
        </w:rPr>
        <w:t>Mindfulness</w:t>
      </w:r>
      <w:r w:rsidRPr="18950525">
        <w:rPr>
          <w:rFonts w:ascii="Times New Roman" w:eastAsia="Times New Roman" w:hAnsi="Times New Roman" w:cs="Times New Roman"/>
          <w:color w:val="000000"/>
          <w:sz w:val="24"/>
          <w:szCs w:val="24"/>
        </w:rPr>
        <w:t xml:space="preserve"> y desfusión cognitiva) a un lenguaje y metáforas accesibles, creando un clima de calidez y seguridad indispensable para una adulta mayor altamente vulnerada.</w:t>
      </w:r>
    </w:p>
    <w:p w14:paraId="00000084" w14:textId="77777777" w:rsidR="00273BEE" w:rsidRDefault="18950525" w:rsidP="18950525">
      <w:pPr>
        <w:numPr>
          <w:ilvl w:val="0"/>
          <w:numId w:val="1"/>
        </w:numPr>
        <w:pBdr>
          <w:top w:val="nil"/>
          <w:left w:val="nil"/>
          <w:bottom w:val="nil"/>
          <w:right w:val="nil"/>
          <w:between w:val="nil"/>
        </w:pBdr>
        <w:spacing w:after="240" w:line="360" w:lineRule="auto"/>
        <w:jc w:val="both"/>
        <w:rPr>
          <w:rFonts w:ascii="Times New Roman" w:eastAsia="Times New Roman" w:hAnsi="Times New Roman" w:cs="Times New Roman"/>
          <w:color w:val="000000"/>
          <w:sz w:val="24"/>
          <w:szCs w:val="24"/>
        </w:rPr>
      </w:pPr>
      <w:r w:rsidRPr="18950525">
        <w:rPr>
          <w:rFonts w:ascii="Times New Roman" w:eastAsia="Times New Roman" w:hAnsi="Times New Roman" w:cs="Times New Roman"/>
          <w:b/>
          <w:bCs/>
          <w:color w:val="000000"/>
          <w:sz w:val="24"/>
          <w:szCs w:val="24"/>
        </w:rPr>
        <w:t>Debilidades:</w:t>
      </w:r>
      <w:r w:rsidRPr="18950525">
        <w:rPr>
          <w:rFonts w:ascii="Times New Roman" w:eastAsia="Times New Roman" w:hAnsi="Times New Roman" w:cs="Times New Roman"/>
          <w:color w:val="000000"/>
          <w:sz w:val="24"/>
          <w:szCs w:val="24"/>
        </w:rPr>
        <w:t xml:space="preserve"> Presenté dificultades iniciales en el manejo de mi propia tolerancia al malestar (contratransferencia) durante los ejercicios de exposición en vivo (</w:t>
      </w:r>
      <w:r w:rsidRPr="18950525">
        <w:rPr>
          <w:rFonts w:ascii="Times New Roman" w:eastAsia="Times New Roman" w:hAnsi="Times New Roman" w:cs="Times New Roman"/>
          <w:i/>
          <w:iCs/>
          <w:color w:val="000000"/>
          <w:sz w:val="24"/>
          <w:szCs w:val="24"/>
        </w:rPr>
        <w:t>Mindfulness</w:t>
      </w:r>
      <w:r w:rsidRPr="18950525">
        <w:rPr>
          <w:rFonts w:ascii="Times New Roman" w:eastAsia="Times New Roman" w:hAnsi="Times New Roman" w:cs="Times New Roman"/>
          <w:color w:val="000000"/>
          <w:sz w:val="24"/>
          <w:szCs w:val="24"/>
        </w:rPr>
        <w:t xml:space="preserve"> de las emociones actuales). Al enfrentarme a los silencios clínicos prolongados mientras la paciente conectaba con su dolor e incertidumbre, experimenté tensión y la urgencia de intervenir precipitadamente para "rescatarla" de su experiencia, lo que pudo haber limitado transitoriamente su proceso natural de habituación.</w:t>
      </w:r>
    </w:p>
    <w:p w14:paraId="00000085" w14:textId="77777777" w:rsidR="00273BEE" w:rsidRDefault="18950525" w:rsidP="18950525">
      <w:pPr>
        <w:spacing w:before="240" w:after="240" w:line="360" w:lineRule="auto"/>
        <w:jc w:val="both"/>
        <w:rPr>
          <w:rFonts w:ascii="Times New Roman" w:eastAsia="Times New Roman" w:hAnsi="Times New Roman" w:cs="Times New Roman"/>
          <w:sz w:val="24"/>
          <w:szCs w:val="24"/>
        </w:rPr>
      </w:pPr>
      <w:r w:rsidRPr="18950525">
        <w:rPr>
          <w:rFonts w:ascii="Times New Roman" w:eastAsia="Times New Roman" w:hAnsi="Times New Roman" w:cs="Times New Roman"/>
          <w:b/>
          <w:bCs/>
          <w:sz w:val="24"/>
          <w:szCs w:val="24"/>
        </w:rPr>
        <w:t>Proyección de mejora:</w:t>
      </w:r>
      <w:r w:rsidRPr="18950525">
        <w:rPr>
          <w:rFonts w:ascii="Times New Roman" w:eastAsia="Times New Roman" w:hAnsi="Times New Roman" w:cs="Times New Roman"/>
          <w:sz w:val="24"/>
          <w:szCs w:val="24"/>
        </w:rPr>
        <w:t xml:space="preserve"> A nivel profesional, me propongo mejorar y afinar mi manejo técnico en las terapias de tercera generación, desarrollando guiones estructurados con el uso de cronómetros discretos. Esto me permitirá gestionar de manera eficiente mis propios tiempos de intervención, incrementando mi tolerancia a los silencios terapéuticos sin interrumpir el procesamiento emocional del paciente. Asimismo, me comprometo a profundizar en el estudio de manuales y evidencia reciente sobre la Terapia de Aceptación y Compromiso (ACT) aplicada a procesos de duelo y rigidez cognitiva en población geriátrica, ofreciendo así un acompañamiento clínico más riguroso y especializado.</w:t>
      </w:r>
    </w:p>
    <w:p w14:paraId="00000086" w14:textId="77777777" w:rsidR="00273BEE" w:rsidRDefault="00000000">
      <w:pPr>
        <w:pStyle w:val="Ttulo3"/>
        <w:keepNext w:val="0"/>
        <w:keepLines w:val="0"/>
        <w:widowControl w:val="0"/>
        <w:spacing w:before="0" w:after="240" w:line="360" w:lineRule="auto"/>
        <w:jc w:val="both"/>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lastRenderedPageBreak/>
        <w:t>12. Referencias bibliográficas</w:t>
      </w:r>
    </w:p>
    <w:p w14:paraId="00000087" w14:textId="77777777" w:rsidR="00273BEE" w:rsidRDefault="18950525" w:rsidP="18950525">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color w:val="000000"/>
          <w:sz w:val="24"/>
          <w:szCs w:val="24"/>
        </w:rPr>
        <w:t xml:space="preserve">Boggiano, J., &amp; Gagliesi, P. (2020). </w:t>
      </w:r>
      <w:r w:rsidRPr="18950525">
        <w:rPr>
          <w:rFonts w:ascii="Times New Roman" w:eastAsia="Times New Roman" w:hAnsi="Times New Roman" w:cs="Times New Roman"/>
          <w:i/>
          <w:iCs/>
          <w:color w:val="000000"/>
          <w:sz w:val="24"/>
          <w:szCs w:val="24"/>
        </w:rPr>
        <w:t>Terapia Dialéctico Conductual Introducción al Tratamiento de Consultantes con Desregulación Emocional</w:t>
      </w:r>
      <w:r>
        <w:rPr>
          <w:rFonts w:ascii="Times New Roman" w:eastAsia="Times New Roman" w:hAnsi="Times New Roman" w:cs="Times New Roman"/>
          <w:color w:val="000000"/>
          <w:sz w:val="24"/>
          <w:szCs w:val="24"/>
        </w:rPr>
        <w:t xml:space="preserve">. </w:t>
      </w:r>
      <w:r>
        <w:fldChar w:fldCharType="begin"/>
      </w:r>
      <w:r>
        <w:instrText>HYPERLINK "https://www.intercontext.org/wp-content/uploads/2022/04/DBT-BOGGIANO-Y-GAGLIESI.pdf" \h</w:instrText>
      </w:r>
      <w:r>
        <w:fldChar w:fldCharType="separate"/>
      </w:r>
      <w:r w:rsidRPr="18950525">
        <w:rPr>
          <w:rFonts w:ascii="Times New Roman" w:eastAsia="Times New Roman" w:hAnsi="Times New Roman" w:cs="Times New Roman"/>
          <w:color w:val="0000FF"/>
          <w:u w:val="single"/>
        </w:rPr>
        <w:t>https://www.intercontext.org/wp-content/uploads/2022/04/DBT-BOGGIANO-Y-GAGLIESI.pdf</w:t>
      </w:r>
      <w:r>
        <w:fldChar w:fldCharType="end"/>
      </w:r>
    </w:p>
    <w:p w14:paraId="00000088" w14:textId="77777777" w:rsidR="00273BEE" w:rsidRDefault="00000000">
      <w:pPr>
        <w:widowControl w:val="0"/>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i/>
          <w:iCs/>
          <w:color w:val="000000"/>
          <w:sz w:val="24"/>
          <w:szCs w:val="24"/>
        </w:rPr>
        <w:t>Guía de Práctica Clínica del Diagnóstico y Tratamiento del Trastorno de Ansiedad en Emergencia</w:t>
      </w:r>
      <w:r>
        <w:rPr>
          <w:rFonts w:ascii="Times New Roman" w:eastAsia="Times New Roman" w:hAnsi="Times New Roman" w:cs="Times New Roman"/>
          <w:color w:val="000000"/>
          <w:sz w:val="24"/>
          <w:szCs w:val="24"/>
        </w:rPr>
        <w:t xml:space="preserve">. (2025). gobpePCM. https://cdn.www.gob.pe/uploads/document/file/7612382/6459036-guia-de-practica-clinica-del-diagnostico-y-tratamiento-del-trastorno-de-ansiedad-en-emergencia.pdf?v=1739219575 </w:t>
      </w:r>
      <w:r>
        <w:fldChar w:fldCharType="begin"/>
      </w:r>
      <w:r>
        <w:instrText>HYPERLINK "https://www.gob.pe/institucion/hlev/informes-publicaciones/6459036-guia-de-practica-clinica-del-diagnostico-y-tratamiento-del-trastorno-de-ansiedad-en-emergencia" \h</w:instrText>
      </w:r>
      <w:r>
        <w:fldChar w:fldCharType="separate"/>
      </w:r>
      <w:r>
        <w:rPr>
          <w:rFonts w:ascii="Times New Roman" w:eastAsia="Times New Roman" w:hAnsi="Times New Roman" w:cs="Times New Roman"/>
          <w:color w:val="0000FF"/>
          <w:u w:val="single"/>
        </w:rPr>
        <w:t>https://www.gob.pe/institucion/hlev/informes-publicaciones/6459036-guia-de-practica-clinica-del-diagnostico-y-tratamiento-del-trastorno-de-ansiedad-en-emergencia</w:t>
      </w:r>
      <w:r>
        <w:fldChar w:fldCharType="end"/>
      </w:r>
    </w:p>
    <w:p w14:paraId="00000089" w14:textId="77777777" w:rsidR="00273BEE" w:rsidRPr="000A3237" w:rsidRDefault="00000000">
      <w:pPr>
        <w:widowControl w:val="0"/>
        <w:spacing w:line="360" w:lineRule="auto"/>
        <w:ind w:firstLine="720"/>
        <w:jc w:val="both"/>
        <w:rPr>
          <w:rFonts w:ascii="Times New Roman" w:eastAsia="Times New Roman" w:hAnsi="Times New Roman" w:cs="Times New Roman"/>
          <w:color w:val="000000"/>
          <w:sz w:val="24"/>
          <w:szCs w:val="24"/>
          <w:lang w:val="en-US"/>
        </w:rPr>
      </w:pPr>
      <w:r w:rsidRPr="000A3237">
        <w:rPr>
          <w:rFonts w:ascii="Times New Roman" w:eastAsia="Times New Roman" w:hAnsi="Times New Roman" w:cs="Times New Roman"/>
          <w:color w:val="000000"/>
          <w:sz w:val="24"/>
          <w:szCs w:val="24"/>
          <w:lang w:val="en-US"/>
        </w:rPr>
        <w:t xml:space="preserve">Navarro-Haro, M. V., Harned, M. S., Korslund, K. E., DuBose, A., Chen, T., Ivanoff, A., &amp; Linehan, M. M. (2018). Predictors of Adoption and Reach Following Dialectical Behavior Therapy Intensive Training. </w:t>
      </w:r>
      <w:r w:rsidRPr="000A3237">
        <w:rPr>
          <w:rFonts w:ascii="Times New Roman" w:eastAsia="Times New Roman" w:hAnsi="Times New Roman" w:cs="Times New Roman"/>
          <w:i/>
          <w:iCs/>
          <w:color w:val="000000"/>
          <w:sz w:val="24"/>
          <w:szCs w:val="24"/>
          <w:lang w:val="en-US"/>
        </w:rPr>
        <w:t>Community Mental Health Journal</w:t>
      </w:r>
      <w:r w:rsidRPr="000A3237">
        <w:rPr>
          <w:rFonts w:ascii="Times New Roman" w:eastAsia="Times New Roman" w:hAnsi="Times New Roman" w:cs="Times New Roman"/>
          <w:color w:val="000000"/>
          <w:sz w:val="24"/>
          <w:szCs w:val="24"/>
          <w:lang w:val="en-US"/>
        </w:rPr>
        <w:t xml:space="preserve">, </w:t>
      </w:r>
      <w:r w:rsidRPr="000A3237">
        <w:rPr>
          <w:rFonts w:ascii="Times New Roman" w:eastAsia="Times New Roman" w:hAnsi="Times New Roman" w:cs="Times New Roman"/>
          <w:i/>
          <w:iCs/>
          <w:color w:val="000000"/>
          <w:sz w:val="24"/>
          <w:szCs w:val="24"/>
          <w:lang w:val="en-US"/>
        </w:rPr>
        <w:t>55</w:t>
      </w:r>
      <w:r w:rsidRPr="000A3237">
        <w:rPr>
          <w:rFonts w:ascii="Times New Roman" w:eastAsia="Times New Roman" w:hAnsi="Times New Roman" w:cs="Times New Roman"/>
          <w:color w:val="000000"/>
          <w:sz w:val="24"/>
          <w:szCs w:val="24"/>
          <w:lang w:val="en-US"/>
        </w:rPr>
        <w:t xml:space="preserve">(1), 100–111. </w:t>
      </w:r>
      <w:hyperlink r:id="rId8">
        <w:r w:rsidR="00273BEE" w:rsidRPr="000A3237">
          <w:rPr>
            <w:rFonts w:ascii="Times New Roman" w:eastAsia="Times New Roman" w:hAnsi="Times New Roman" w:cs="Times New Roman"/>
            <w:color w:val="0000FF"/>
            <w:u w:val="single"/>
            <w:lang w:val="en-US"/>
          </w:rPr>
          <w:t>https://pubmed.ncbi.nlm.nih.gov/29508180/</w:t>
        </w:r>
      </w:hyperlink>
      <w:r w:rsidRPr="000A3237">
        <w:rPr>
          <w:rFonts w:ascii="Times New Roman" w:eastAsia="Times New Roman" w:hAnsi="Times New Roman" w:cs="Times New Roman"/>
          <w:color w:val="000000"/>
          <w:sz w:val="24"/>
          <w:szCs w:val="24"/>
          <w:lang w:val="en-US"/>
        </w:rPr>
        <w:t xml:space="preserve"> </w:t>
      </w:r>
    </w:p>
    <w:p w14:paraId="0000008A" w14:textId="77777777" w:rsidR="00273BEE" w:rsidRDefault="00000000">
      <w:pPr>
        <w:widowControl w:val="0"/>
        <w:spacing w:line="360" w:lineRule="auto"/>
        <w:ind w:firstLine="720"/>
        <w:jc w:val="both"/>
        <w:rPr>
          <w:rFonts w:ascii="Times New Roman" w:eastAsia="Times New Roman" w:hAnsi="Times New Roman" w:cs="Times New Roman"/>
          <w:sz w:val="24"/>
          <w:szCs w:val="24"/>
        </w:rPr>
      </w:pPr>
      <w:r w:rsidRPr="000A3237">
        <w:rPr>
          <w:rFonts w:ascii="Times New Roman" w:eastAsia="Times New Roman" w:hAnsi="Times New Roman" w:cs="Times New Roman"/>
          <w:sz w:val="24"/>
          <w:szCs w:val="24"/>
          <w:lang w:val="en-US"/>
        </w:rPr>
        <w:t xml:space="preserve">Rizvi, S.L., Hughes, C., Thomas, M.C. (2016). The DBT coach mobile application as an adjunct to treatment for suicidal and </w:t>
      </w:r>
      <w:proofErr w:type="spellStart"/>
      <w:r w:rsidRPr="000A3237">
        <w:rPr>
          <w:rFonts w:ascii="Times New Roman" w:eastAsia="Times New Roman" w:hAnsi="Times New Roman" w:cs="Times New Roman"/>
          <w:sz w:val="24"/>
          <w:szCs w:val="24"/>
          <w:lang w:val="en-US"/>
        </w:rPr>
        <w:t>selfinjuring</w:t>
      </w:r>
      <w:proofErr w:type="spellEnd"/>
      <w:r w:rsidRPr="000A3237">
        <w:rPr>
          <w:rFonts w:ascii="Times New Roman" w:eastAsia="Times New Roman" w:hAnsi="Times New Roman" w:cs="Times New Roman"/>
          <w:sz w:val="24"/>
          <w:szCs w:val="24"/>
          <w:lang w:val="en-US"/>
        </w:rPr>
        <w:t xml:space="preserve"> individuals with borderline personality disorder: a preliminary evaluation and challenges to client utilization. </w:t>
      </w:r>
      <w:r>
        <w:rPr>
          <w:rFonts w:ascii="Times New Roman" w:eastAsia="Times New Roman" w:hAnsi="Times New Roman" w:cs="Times New Roman"/>
          <w:sz w:val="24"/>
          <w:szCs w:val="24"/>
        </w:rPr>
        <w:t>Psychological Services, 13(4), 380 – 388.</w:t>
      </w:r>
    </w:p>
    <w:p w14:paraId="0000008B" w14:textId="77777777" w:rsidR="00273BEE" w:rsidRDefault="00000000">
      <w:pPr>
        <w:spacing w:before="240" w:after="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0000008C" w14:textId="77777777" w:rsidR="00273BEE" w:rsidRDefault="00273BEE">
      <w:pPr>
        <w:widowControl w:val="0"/>
        <w:spacing w:line="360" w:lineRule="auto"/>
        <w:ind w:firstLine="720"/>
        <w:jc w:val="both"/>
        <w:rPr>
          <w:rFonts w:ascii="Times New Roman" w:eastAsia="Times New Roman" w:hAnsi="Times New Roman" w:cs="Times New Roman"/>
        </w:rPr>
      </w:pPr>
    </w:p>
    <w:p w14:paraId="0000008D" w14:textId="77777777" w:rsidR="00273BEE" w:rsidRDefault="00000000">
      <w:pPr>
        <w:spacing w:before="240" w:after="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0000008E" w14:textId="77777777" w:rsidR="00273BEE" w:rsidRDefault="00273BEE">
      <w:pPr>
        <w:widowControl w:val="0"/>
        <w:spacing w:line="360" w:lineRule="auto"/>
        <w:ind w:firstLine="720"/>
        <w:jc w:val="both"/>
        <w:rPr>
          <w:rFonts w:ascii="Times New Roman" w:eastAsia="Times New Roman" w:hAnsi="Times New Roman" w:cs="Times New Roman"/>
          <w:sz w:val="24"/>
          <w:szCs w:val="24"/>
        </w:rPr>
      </w:pPr>
    </w:p>
    <w:p w14:paraId="0000008F" w14:textId="77777777" w:rsidR="00273BEE" w:rsidRDefault="00273BEE">
      <w:pPr>
        <w:widowControl w:val="0"/>
        <w:spacing w:line="360" w:lineRule="auto"/>
        <w:ind w:firstLine="720"/>
        <w:jc w:val="both"/>
        <w:rPr>
          <w:rFonts w:ascii="Times New Roman" w:eastAsia="Times New Roman" w:hAnsi="Times New Roman" w:cs="Times New Roman"/>
          <w:sz w:val="24"/>
          <w:szCs w:val="24"/>
        </w:rPr>
      </w:pPr>
    </w:p>
    <w:p w14:paraId="00000090" w14:textId="77777777" w:rsidR="00273BEE" w:rsidRDefault="00273BEE">
      <w:pPr>
        <w:rPr>
          <w:rFonts w:ascii="Times New Roman" w:eastAsia="Times New Roman" w:hAnsi="Times New Roman" w:cs="Times New Roman"/>
          <w:sz w:val="24"/>
          <w:szCs w:val="24"/>
        </w:rPr>
      </w:pPr>
    </w:p>
    <w:p w14:paraId="20FB69AE" w14:textId="77777777" w:rsidR="00273BEE" w:rsidRDefault="00273BEE">
      <w:pPr>
        <w:spacing w:line="240" w:lineRule="auto"/>
        <w:rPr>
          <w:rFonts w:ascii="Calibri" w:eastAsia="Calibri" w:hAnsi="Calibri" w:cs="Calibri"/>
          <w:b/>
          <w:bCs/>
        </w:rPr>
      </w:pPr>
    </w:p>
    <w:p w14:paraId="163A6631" w14:textId="77777777" w:rsidR="000A3237" w:rsidRDefault="000A3237">
      <w:pPr>
        <w:spacing w:line="240" w:lineRule="auto"/>
        <w:rPr>
          <w:rFonts w:ascii="Calibri" w:eastAsia="Calibri" w:hAnsi="Calibri" w:cs="Calibri"/>
          <w:b/>
          <w:bCs/>
        </w:rPr>
      </w:pPr>
    </w:p>
    <w:p w14:paraId="1A7F188C" w14:textId="77777777" w:rsidR="000A3237" w:rsidRDefault="000A3237">
      <w:pPr>
        <w:spacing w:line="240" w:lineRule="auto"/>
        <w:rPr>
          <w:rFonts w:ascii="Calibri" w:eastAsia="Calibri" w:hAnsi="Calibri" w:cs="Calibri"/>
          <w:b/>
          <w:bCs/>
        </w:rPr>
      </w:pPr>
    </w:p>
    <w:p w14:paraId="03AE2042" w14:textId="77777777" w:rsidR="000A3237" w:rsidRDefault="000A3237">
      <w:pPr>
        <w:spacing w:line="240" w:lineRule="auto"/>
        <w:rPr>
          <w:rFonts w:ascii="Calibri" w:eastAsia="Calibri" w:hAnsi="Calibri" w:cs="Calibri"/>
          <w:b/>
          <w:bCs/>
        </w:rPr>
      </w:pPr>
    </w:p>
    <w:p w14:paraId="1F3961A0" w14:textId="77777777" w:rsidR="000A3237" w:rsidRDefault="000A3237">
      <w:pPr>
        <w:spacing w:line="240" w:lineRule="auto"/>
        <w:rPr>
          <w:rFonts w:ascii="Calibri" w:eastAsia="Calibri" w:hAnsi="Calibri" w:cs="Calibri"/>
          <w:b/>
          <w:bCs/>
        </w:rPr>
      </w:pPr>
    </w:p>
    <w:p w14:paraId="28FCE58D" w14:textId="77777777" w:rsidR="000A3237" w:rsidRDefault="000A3237">
      <w:pPr>
        <w:spacing w:line="240" w:lineRule="auto"/>
        <w:rPr>
          <w:rFonts w:ascii="Calibri" w:eastAsia="Calibri" w:hAnsi="Calibri" w:cs="Calibri"/>
          <w:b/>
          <w:bCs/>
        </w:rPr>
      </w:pPr>
    </w:p>
    <w:p w14:paraId="3C1723DA" w14:textId="77777777" w:rsidR="000A3237" w:rsidRDefault="000A3237">
      <w:pPr>
        <w:spacing w:line="240" w:lineRule="auto"/>
        <w:rPr>
          <w:rFonts w:ascii="Calibri" w:eastAsia="Calibri" w:hAnsi="Calibri" w:cs="Calibri"/>
          <w:b/>
          <w:bCs/>
        </w:rPr>
      </w:pPr>
    </w:p>
    <w:p w14:paraId="1D486C15" w14:textId="77777777" w:rsidR="000A3237" w:rsidRDefault="000A3237">
      <w:pPr>
        <w:spacing w:line="240" w:lineRule="auto"/>
        <w:rPr>
          <w:rFonts w:ascii="Calibri" w:eastAsia="Calibri" w:hAnsi="Calibri" w:cs="Calibri"/>
          <w:b/>
          <w:bCs/>
        </w:rPr>
      </w:pPr>
    </w:p>
    <w:p w14:paraId="536DC0CF" w14:textId="77777777" w:rsidR="000A3237" w:rsidRDefault="000A3237">
      <w:pPr>
        <w:spacing w:line="240" w:lineRule="auto"/>
        <w:rPr>
          <w:rFonts w:ascii="Calibri" w:eastAsia="Calibri" w:hAnsi="Calibri" w:cs="Calibri"/>
          <w:b/>
          <w:bCs/>
        </w:rPr>
      </w:pPr>
    </w:p>
    <w:p w14:paraId="4491197A" w14:textId="77777777" w:rsidR="000A3237" w:rsidRDefault="000A3237">
      <w:pPr>
        <w:spacing w:line="240" w:lineRule="auto"/>
        <w:rPr>
          <w:rFonts w:ascii="Calibri" w:eastAsia="Calibri" w:hAnsi="Calibri" w:cs="Calibri"/>
          <w:b/>
          <w:bCs/>
        </w:rPr>
      </w:pPr>
    </w:p>
    <w:p w14:paraId="00000093" w14:textId="77777777" w:rsidR="000A3237" w:rsidRDefault="000A3237">
      <w:pPr>
        <w:spacing w:line="240" w:lineRule="auto"/>
        <w:rPr>
          <w:rFonts w:ascii="Calibri" w:eastAsia="Calibri" w:hAnsi="Calibri" w:cs="Calibri"/>
          <w:b/>
          <w:bCs/>
        </w:rPr>
        <w:sectPr w:rsidR="000A3237">
          <w:headerReference w:type="default" r:id="rId9"/>
          <w:footerReference w:type="default" r:id="rId10"/>
          <w:pgSz w:w="11909" w:h="16834"/>
          <w:pgMar w:top="1440" w:right="1440" w:bottom="1440" w:left="1440" w:header="720" w:footer="720" w:gutter="0"/>
          <w:pgNumType w:start="1"/>
          <w:cols w:space="720"/>
        </w:sectPr>
      </w:pPr>
    </w:p>
    <w:p w14:paraId="7E0CFD64" w14:textId="77777777" w:rsidR="000A3237" w:rsidRDefault="000A3237" w:rsidP="000A3237">
      <w:pPr>
        <w:spacing w:line="240" w:lineRule="auto"/>
      </w:pPr>
    </w:p>
    <w:p w14:paraId="15EB1062" w14:textId="77777777" w:rsidR="000A3237" w:rsidRDefault="000A3237" w:rsidP="000A3237">
      <w:pPr>
        <w:spacing w:line="240" w:lineRule="auto"/>
      </w:pPr>
    </w:p>
    <w:p w14:paraId="37F716B4" w14:textId="77777777" w:rsidR="000A3237" w:rsidRDefault="000A3237" w:rsidP="000A3237">
      <w:pPr>
        <w:spacing w:line="240" w:lineRule="auto"/>
      </w:pPr>
    </w:p>
    <w:p w14:paraId="24913EF9" w14:textId="77777777" w:rsidR="000A3237" w:rsidRDefault="000A3237" w:rsidP="000A3237">
      <w:pPr>
        <w:spacing w:line="240" w:lineRule="auto"/>
      </w:pPr>
    </w:p>
    <w:sectPr w:rsidR="000A3237">
      <w:pgSz w:w="16834" w:h="11909" w:orient="landscape"/>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3698E7A" w14:textId="77777777" w:rsidR="00115AB3" w:rsidRDefault="00115AB3">
      <w:pPr>
        <w:spacing w:line="240" w:lineRule="auto"/>
      </w:pPr>
      <w:r>
        <w:separator/>
      </w:r>
    </w:p>
  </w:endnote>
  <w:endnote w:type="continuationSeparator" w:id="0">
    <w:p w14:paraId="5305047A" w14:textId="77777777" w:rsidR="00115AB3" w:rsidRDefault="00115AB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Noto Sans Symbols">
    <w:charset w:val="00"/>
    <w:family w:val="auto"/>
    <w:pitch w:val="default"/>
    <w:embedRegular r:id="rId1" w:fontKey="{795B016A-3EB0-5241-BA1C-FFC1222EC01E}"/>
  </w:font>
  <w:font w:name="Courier New">
    <w:panose1 w:val="02070309020205020404"/>
    <w:charset w:val="00"/>
    <w:family w:val="modern"/>
    <w:pitch w:val="fixed"/>
    <w:sig w:usb0="E0002AFF" w:usb1="C0007843" w:usb2="00000009" w:usb3="00000000" w:csb0="000001FF" w:csb1="00000000"/>
    <w:embedRegular r:id="rId2" w:fontKey="{8FA0E7A3-2C10-A04A-A82E-3F38B87634F7}"/>
  </w:font>
  <w:font w:name="Aptos">
    <w:panose1 w:val="020B0004020202020204"/>
    <w:charset w:val="00"/>
    <w:family w:val="swiss"/>
    <w:pitch w:val="variable"/>
    <w:sig w:usb0="20000287" w:usb1="00000003" w:usb2="00000000" w:usb3="00000000" w:csb0="0000019F" w:csb1="00000000"/>
    <w:embedRegular r:id="rId3" w:fontKey="{AA64CBD2-DE4C-B244-9855-FB77CCB3C077}"/>
  </w:font>
  <w:font w:name="Times New Roman">
    <w:panose1 w:val="02020603050405020304"/>
    <w:charset w:val="00"/>
    <w:family w:val="roman"/>
    <w:pitch w:val="variable"/>
    <w:sig w:usb0="E0002EFF" w:usb1="C000785B" w:usb2="00000009" w:usb3="00000000" w:csb0="000001FF" w:csb1="00000000"/>
    <w:embedRegular r:id="rId4" w:fontKey="{3A1F8C9B-6707-9D48-95A9-AF71DD17A929}"/>
    <w:embedBold r:id="rId5" w:fontKey="{800D6D1D-D126-F84C-8126-52918A5FA99D}"/>
    <w:embedItalic r:id="rId6" w:fontKey="{EEDC685E-EC4E-D44A-9408-E78ED2D0204D}"/>
  </w:font>
  <w:font w:name="Arial">
    <w:panose1 w:val="020B0604020202020204"/>
    <w:charset w:val="00"/>
    <w:family w:val="swiss"/>
    <w:pitch w:val="variable"/>
    <w:sig w:usb0="E0002AFF" w:usb1="C0007843" w:usb2="00000009" w:usb3="00000000" w:csb0="000001FF" w:csb1="00000000"/>
    <w:embedRegular r:id="rId7" w:fontKey="{31A237E0-BFAF-C74E-A6C3-9A502F6A5CF3}"/>
    <w:embedItalic r:id="rId8" w:fontKey="{427A67A5-8CB5-5D4E-A65A-2D1545DFC051}"/>
  </w:font>
  <w:font w:name="Calibri">
    <w:panose1 w:val="020F0502020204030204"/>
    <w:charset w:val="00"/>
    <w:family w:val="swiss"/>
    <w:pitch w:val="variable"/>
    <w:sig w:usb0="E0002AFF" w:usb1="C000247B" w:usb2="00000009" w:usb3="00000000" w:csb0="000001FF" w:csb1="00000000"/>
    <w:embedRegular r:id="rId9" w:fontKey="{41F67A7C-B09B-8340-987C-84C3BAB9A81D}"/>
    <w:embedBold r:id="rId10" w:fontKey="{52130360-5A14-5849-80C1-4A458101F107}"/>
  </w:font>
  <w:font w:name="Cambria">
    <w:panose1 w:val="02040503050406030204"/>
    <w:charset w:val="00"/>
    <w:family w:val="roman"/>
    <w:pitch w:val="variable"/>
    <w:sig w:usb0="E00002FF" w:usb1="400004FF" w:usb2="00000000" w:usb3="00000000" w:csb0="0000019F" w:csb1="00000000"/>
    <w:embedRegular r:id="rId11" w:fontKey="{98B1415A-AF54-CB44-9A5B-7F595C76EF8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195" w14:textId="77777777" w:rsidR="00273BEE" w:rsidRDefault="00273BEE">
    <w:pPr>
      <w:widowControl w:val="0"/>
      <w:pBdr>
        <w:top w:val="nil"/>
        <w:left w:val="nil"/>
        <w:bottom w:val="nil"/>
        <w:right w:val="nil"/>
        <w:between w:val="nil"/>
      </w:pBdr>
      <w:rPr>
        <w:color w:val="000000"/>
      </w:rPr>
    </w:pPr>
  </w:p>
  <w:tbl>
    <w:tblPr>
      <w:tblStyle w:val="a2"/>
      <w:tblW w:w="9015" w:type="dxa"/>
      <w:tblLayout w:type="fixed"/>
      <w:tblLook w:val="0600" w:firstRow="0" w:lastRow="0" w:firstColumn="0" w:lastColumn="0" w:noHBand="1" w:noVBand="1"/>
    </w:tblPr>
    <w:tblGrid>
      <w:gridCol w:w="3005"/>
      <w:gridCol w:w="3005"/>
      <w:gridCol w:w="3005"/>
    </w:tblGrid>
    <w:tr w:rsidR="00273BEE" w14:paraId="0A37501D" w14:textId="77777777">
      <w:trPr>
        <w:trHeight w:val="300"/>
      </w:trPr>
      <w:tc>
        <w:tcPr>
          <w:tcW w:w="3005" w:type="dxa"/>
        </w:tcPr>
        <w:p w14:paraId="00000196" w14:textId="77777777" w:rsidR="00273BEE" w:rsidRDefault="00273BEE">
          <w:pPr>
            <w:pBdr>
              <w:top w:val="nil"/>
              <w:left w:val="nil"/>
              <w:bottom w:val="nil"/>
              <w:right w:val="nil"/>
              <w:between w:val="nil"/>
            </w:pBdr>
            <w:tabs>
              <w:tab w:val="center" w:pos="4680"/>
              <w:tab w:val="right" w:pos="9360"/>
            </w:tabs>
            <w:spacing w:line="240" w:lineRule="auto"/>
            <w:ind w:left="-115"/>
            <w:rPr>
              <w:color w:val="000000"/>
            </w:rPr>
          </w:pPr>
        </w:p>
      </w:tc>
      <w:tc>
        <w:tcPr>
          <w:tcW w:w="3005" w:type="dxa"/>
        </w:tcPr>
        <w:p w14:paraId="00000197" w14:textId="77777777" w:rsidR="00273BEE" w:rsidRDefault="00273BEE">
          <w:pPr>
            <w:pBdr>
              <w:top w:val="nil"/>
              <w:left w:val="nil"/>
              <w:bottom w:val="nil"/>
              <w:right w:val="nil"/>
              <w:between w:val="nil"/>
            </w:pBdr>
            <w:tabs>
              <w:tab w:val="center" w:pos="4680"/>
              <w:tab w:val="right" w:pos="9360"/>
            </w:tabs>
            <w:spacing w:line="240" w:lineRule="auto"/>
            <w:jc w:val="center"/>
            <w:rPr>
              <w:color w:val="000000"/>
            </w:rPr>
          </w:pPr>
        </w:p>
      </w:tc>
      <w:tc>
        <w:tcPr>
          <w:tcW w:w="3005" w:type="dxa"/>
        </w:tcPr>
        <w:p w14:paraId="00000198" w14:textId="77777777" w:rsidR="00273BEE" w:rsidRDefault="00273BEE">
          <w:pPr>
            <w:pBdr>
              <w:top w:val="nil"/>
              <w:left w:val="nil"/>
              <w:bottom w:val="nil"/>
              <w:right w:val="nil"/>
              <w:between w:val="nil"/>
            </w:pBdr>
            <w:tabs>
              <w:tab w:val="center" w:pos="4680"/>
              <w:tab w:val="right" w:pos="9360"/>
            </w:tabs>
            <w:spacing w:line="240" w:lineRule="auto"/>
            <w:ind w:right="-115"/>
            <w:jc w:val="right"/>
            <w:rPr>
              <w:color w:val="000000"/>
            </w:rPr>
          </w:pPr>
        </w:p>
      </w:tc>
    </w:tr>
  </w:tbl>
  <w:p w14:paraId="00000199" w14:textId="77777777" w:rsidR="00273BEE" w:rsidRDefault="00273BEE">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E99604B" w14:textId="77777777" w:rsidR="00115AB3" w:rsidRDefault="00115AB3">
      <w:pPr>
        <w:spacing w:line="240" w:lineRule="auto"/>
      </w:pPr>
      <w:r>
        <w:separator/>
      </w:r>
    </w:p>
  </w:footnote>
  <w:footnote w:type="continuationSeparator" w:id="0">
    <w:p w14:paraId="2B277A67" w14:textId="77777777" w:rsidR="00115AB3" w:rsidRDefault="00115AB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190" w14:textId="77777777" w:rsidR="00273BEE" w:rsidRDefault="00273BEE">
    <w:pPr>
      <w:widowControl w:val="0"/>
      <w:pBdr>
        <w:top w:val="nil"/>
        <w:left w:val="nil"/>
        <w:bottom w:val="nil"/>
        <w:right w:val="nil"/>
        <w:between w:val="nil"/>
      </w:pBdr>
    </w:pPr>
  </w:p>
  <w:tbl>
    <w:tblPr>
      <w:tblStyle w:val="a1"/>
      <w:tblW w:w="9015" w:type="dxa"/>
      <w:tblLayout w:type="fixed"/>
      <w:tblLook w:val="0600" w:firstRow="0" w:lastRow="0" w:firstColumn="0" w:lastColumn="0" w:noHBand="1" w:noVBand="1"/>
    </w:tblPr>
    <w:tblGrid>
      <w:gridCol w:w="3005"/>
      <w:gridCol w:w="3005"/>
      <w:gridCol w:w="3005"/>
    </w:tblGrid>
    <w:tr w:rsidR="00273BEE" w14:paraId="672A6659" w14:textId="77777777">
      <w:trPr>
        <w:trHeight w:val="300"/>
      </w:trPr>
      <w:tc>
        <w:tcPr>
          <w:tcW w:w="3005" w:type="dxa"/>
        </w:tcPr>
        <w:p w14:paraId="00000191" w14:textId="77777777" w:rsidR="00273BEE" w:rsidRDefault="00273BEE">
          <w:pPr>
            <w:pBdr>
              <w:top w:val="nil"/>
              <w:left w:val="nil"/>
              <w:bottom w:val="nil"/>
              <w:right w:val="nil"/>
              <w:between w:val="nil"/>
            </w:pBdr>
            <w:tabs>
              <w:tab w:val="center" w:pos="4680"/>
              <w:tab w:val="right" w:pos="9360"/>
            </w:tabs>
            <w:spacing w:line="240" w:lineRule="auto"/>
            <w:ind w:left="-115"/>
            <w:rPr>
              <w:color w:val="000000"/>
            </w:rPr>
          </w:pPr>
        </w:p>
      </w:tc>
      <w:tc>
        <w:tcPr>
          <w:tcW w:w="3005" w:type="dxa"/>
        </w:tcPr>
        <w:p w14:paraId="00000192" w14:textId="77777777" w:rsidR="00273BEE" w:rsidRDefault="00273BEE">
          <w:pPr>
            <w:pBdr>
              <w:top w:val="nil"/>
              <w:left w:val="nil"/>
              <w:bottom w:val="nil"/>
              <w:right w:val="nil"/>
              <w:between w:val="nil"/>
            </w:pBdr>
            <w:tabs>
              <w:tab w:val="center" w:pos="4680"/>
              <w:tab w:val="right" w:pos="9360"/>
            </w:tabs>
            <w:spacing w:line="240" w:lineRule="auto"/>
            <w:jc w:val="center"/>
            <w:rPr>
              <w:color w:val="000000"/>
            </w:rPr>
          </w:pPr>
        </w:p>
      </w:tc>
      <w:tc>
        <w:tcPr>
          <w:tcW w:w="3005" w:type="dxa"/>
        </w:tcPr>
        <w:p w14:paraId="00000193" w14:textId="77777777" w:rsidR="00273BEE" w:rsidRDefault="00273BEE">
          <w:pPr>
            <w:pBdr>
              <w:top w:val="nil"/>
              <w:left w:val="nil"/>
              <w:bottom w:val="nil"/>
              <w:right w:val="nil"/>
              <w:between w:val="nil"/>
            </w:pBdr>
            <w:tabs>
              <w:tab w:val="center" w:pos="4680"/>
              <w:tab w:val="right" w:pos="9360"/>
            </w:tabs>
            <w:spacing w:line="240" w:lineRule="auto"/>
            <w:ind w:right="-115"/>
            <w:jc w:val="right"/>
            <w:rPr>
              <w:color w:val="000000"/>
            </w:rPr>
          </w:pPr>
        </w:p>
      </w:tc>
    </w:tr>
  </w:tbl>
  <w:p w14:paraId="00000194" w14:textId="77777777" w:rsidR="00273BEE" w:rsidRDefault="00273BEE">
    <w:pPr>
      <w:pBdr>
        <w:top w:val="nil"/>
        <w:left w:val="nil"/>
        <w:bottom w:val="nil"/>
        <w:right w:val="nil"/>
        <w:between w:val="nil"/>
      </w:pBdr>
      <w:tabs>
        <w:tab w:val="center" w:pos="4680"/>
        <w:tab w:val="right" w:pos="9360"/>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61FEC55"/>
    <w:multiLevelType w:val="multilevel"/>
    <w:tmpl w:val="961AC8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61E8082"/>
    <w:multiLevelType w:val="multilevel"/>
    <w:tmpl w:val="88A8FFDC"/>
    <w:lvl w:ilvl="0">
      <w:start w:val="1"/>
      <w:numFmt w:val="bullet"/>
      <w:lvlText w:val="-"/>
      <w:lvlJc w:val="left"/>
      <w:pPr>
        <w:ind w:left="720" w:hanging="360"/>
      </w:pPr>
      <w:rPr>
        <w:rFonts w:ascii="Aptos" w:eastAsia="Aptos" w:hAnsi="Aptos" w:cs="Apto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A3F3369"/>
    <w:multiLevelType w:val="multilevel"/>
    <w:tmpl w:val="473664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B0AC3DF"/>
    <w:multiLevelType w:val="multilevel"/>
    <w:tmpl w:val="ED72DEF6"/>
    <w:lvl w:ilvl="0">
      <w:start w:val="1"/>
      <w:numFmt w:val="bullet"/>
      <w:lvlText w:val="●"/>
      <w:lvlJc w:val="left"/>
      <w:pPr>
        <w:ind w:left="590" w:hanging="360"/>
      </w:pPr>
      <w:rPr>
        <w:u w:val="none"/>
      </w:rPr>
    </w:lvl>
    <w:lvl w:ilvl="1">
      <w:start w:val="1"/>
      <w:numFmt w:val="bullet"/>
      <w:lvlText w:val="○"/>
      <w:lvlJc w:val="left"/>
      <w:pPr>
        <w:ind w:left="6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C45F175"/>
    <w:multiLevelType w:val="multilevel"/>
    <w:tmpl w:val="AC0CBB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50E66B81"/>
    <w:multiLevelType w:val="multilevel"/>
    <w:tmpl w:val="0524881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5E7C23C2"/>
    <w:multiLevelType w:val="multilevel"/>
    <w:tmpl w:val="25AC965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6168DC67"/>
    <w:multiLevelType w:val="multilevel"/>
    <w:tmpl w:val="D18C90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BE53CD4"/>
    <w:multiLevelType w:val="multilevel"/>
    <w:tmpl w:val="95742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018FD98"/>
    <w:multiLevelType w:val="multilevel"/>
    <w:tmpl w:val="CBD8C1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76842EBC"/>
    <w:multiLevelType w:val="multilevel"/>
    <w:tmpl w:val="93DE4F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76E67137"/>
    <w:multiLevelType w:val="multilevel"/>
    <w:tmpl w:val="348420B0"/>
    <w:lvl w:ilvl="0">
      <w:start w:val="1"/>
      <w:numFmt w:val="bullet"/>
      <w:lvlText w:val="-"/>
      <w:lvlJc w:val="left"/>
      <w:pPr>
        <w:ind w:left="720" w:hanging="360"/>
      </w:pPr>
      <w:rPr>
        <w:rFonts w:ascii="Aptos" w:eastAsia="Aptos" w:hAnsi="Aptos" w:cs="Apto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709649845">
    <w:abstractNumId w:val="6"/>
  </w:num>
  <w:num w:numId="2" w16cid:durableId="968169314">
    <w:abstractNumId w:val="8"/>
  </w:num>
  <w:num w:numId="3" w16cid:durableId="199825399">
    <w:abstractNumId w:val="7"/>
  </w:num>
  <w:num w:numId="4" w16cid:durableId="946891221">
    <w:abstractNumId w:val="3"/>
  </w:num>
  <w:num w:numId="5" w16cid:durableId="1743406606">
    <w:abstractNumId w:val="2"/>
  </w:num>
  <w:num w:numId="6" w16cid:durableId="1619331931">
    <w:abstractNumId w:val="0"/>
  </w:num>
  <w:num w:numId="7" w16cid:durableId="1435324047">
    <w:abstractNumId w:val="10"/>
  </w:num>
  <w:num w:numId="8" w16cid:durableId="2006085842">
    <w:abstractNumId w:val="5"/>
  </w:num>
  <w:num w:numId="9" w16cid:durableId="224529150">
    <w:abstractNumId w:val="4"/>
  </w:num>
  <w:num w:numId="10" w16cid:durableId="1802456422">
    <w:abstractNumId w:val="1"/>
  </w:num>
  <w:num w:numId="11" w16cid:durableId="575555312">
    <w:abstractNumId w:val="11"/>
  </w:num>
  <w:num w:numId="12" w16cid:durableId="67701018">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1"/>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3BEE"/>
    <w:rsid w:val="000A3237"/>
    <w:rsid w:val="00115AB3"/>
    <w:rsid w:val="00273BEE"/>
    <w:rsid w:val="009050F2"/>
    <w:rsid w:val="00B132C2"/>
    <w:rsid w:val="00FD24E0"/>
    <w:rsid w:val="037BD7FE"/>
    <w:rsid w:val="18950525"/>
    <w:rsid w:val="1F65A42F"/>
    <w:rsid w:val="21DAA284"/>
    <w:rsid w:val="3CDAE258"/>
    <w:rsid w:val="4798DA1D"/>
    <w:rsid w:val="4DC9FB0B"/>
    <w:rsid w:val="7870F442"/>
    <w:rsid w:val="7F49B53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ecimalSymbol w:val="."/>
  <w:listSeparator w:val=";"/>
  <w14:docId w14:val="2ABE62E7"/>
  <w15:docId w15:val="{776F461B-C09B-4010-837B-3B6FE24C9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s-PE"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5" w:type="dxa"/>
        <w:left w:w="70" w:type="dxa"/>
        <w:bottom w:w="15" w:type="dxa"/>
        <w:right w:w="70" w:type="dxa"/>
      </w:tblCellMar>
    </w:tblPr>
  </w:style>
  <w:style w:type="table" w:customStyle="1" w:styleId="a0">
    <w:basedOn w:val="Tablanormal"/>
    <w:tblPr>
      <w:tblStyleRowBandSize w:val="1"/>
      <w:tblStyleColBandSize w:val="1"/>
      <w:tblCellMar>
        <w:left w:w="115" w:type="dxa"/>
        <w:right w:w="115" w:type="dxa"/>
      </w:tblCellMar>
    </w:tblPr>
  </w:style>
  <w:style w:type="table" w:customStyle="1" w:styleId="a1">
    <w:basedOn w:val="Tablanormal"/>
    <w:tblPr>
      <w:tblStyleRowBandSize w:val="1"/>
      <w:tblStyleColBandSize w:val="1"/>
      <w:tblCellMar>
        <w:left w:w="115" w:type="dxa"/>
        <w:right w:w="115" w:type="dxa"/>
      </w:tblCellMar>
    </w:tblPr>
  </w:style>
  <w:style w:type="table" w:customStyle="1" w:styleId="a2">
    <w:basedOn w:val="Tabla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ubmed.ncbi.nlm.nih.gov/29508180/"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XtuUbOCG+ZN7cv62WTHS5suHuQ==">CgMxLjAyDmgudWFsdWpyMzV3ZmlqMg5oLnZkb3JpcWozZWxucDIOaC52bnl4OWVva2l3NjQ4AHIhMUI4bDlIRDUyU0JGZE02M0FyUEEtUzVnS2Fndkh0cTBK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14</Pages>
  <Words>4549</Words>
  <Characters>25024</Characters>
  <Application>Microsoft Office Word</Application>
  <DocSecurity>0</DocSecurity>
  <Lines>208</Lines>
  <Paragraphs>59</Paragraphs>
  <ScaleCrop>false</ScaleCrop>
  <Company/>
  <LinksUpToDate>false</LinksUpToDate>
  <CharactersWithSpaces>29514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u202120565 (Ogoña Maza, Jose Hector Rafael)</cp:lastModifiedBy>
  <cp:revision>3</cp:revision>
  <dcterms:created xsi:type="dcterms:W3CDTF">2026-10-03T04:44:00Z</dcterms:created>
  <dcterms:modified xsi:type="dcterms:W3CDTF">2026-10-03T05:16:00Z</dcterms:modified>
</cp:coreProperties>
</file>