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spacing w:before="0" w:after="0"/>
        <w:jc w:val="center"/>
      </w:pPr>
    </w:p>
    <w:p>
      <w:pPr>
        <w:spacing w:line="360" w:lineRule="auto" w:before="0" w:after="0"/>
        <w:jc w:val="center"/>
      </w:pPr>
      <w:r>
        <w:rPr>
          <w:rFonts w:ascii="Arial" w:hAnsi="Arial"/>
          <w:b/>
          <w:sz w:val="24"/>
        </w:rPr>
        <w:t>Universidad Nacional del Comahue</w:t>
      </w:r>
    </w:p>
    <w:p>
      <w:pPr>
        <w:spacing w:line="360" w:lineRule="auto" w:before="0" w:after="0"/>
        <w:jc w:val="center"/>
      </w:pPr>
      <w:r>
        <w:rPr>
          <w:rFonts w:ascii="Arial" w:hAnsi="Arial"/>
          <w:b/>
          <w:sz w:val="24"/>
        </w:rPr>
        <w:t>Complejo Universitario Regional Zona Atlántica y Sur</w:t>
      </w:r>
    </w:p>
    <w:p>
      <w:pPr>
        <w:spacing w:line="360" w:lineRule="auto" w:before="0" w:after="0"/>
        <w:jc w:val="center"/>
      </w:pPr>
      <w:r>
        <w:rPr>
          <w:rFonts w:ascii="Arial" w:hAnsi="Arial"/>
          <w:b/>
          <w:sz w:val="24"/>
        </w:rPr>
        <w:t>Departamento de Administración Pública</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0"/>
        <w:jc w:val="center"/>
      </w:pPr>
      <w:r>
        <w:rPr>
          <w:rFonts w:ascii="Arial" w:hAnsi="Arial"/>
          <w:b/>
          <w:sz w:val="24"/>
        </w:rPr>
        <w:t>Licenciatura en Gestión de Recursos Humanos</w:t>
      </w:r>
    </w:p>
    <w:p>
      <w:pPr>
        <w:spacing w:line="240" w:lineRule="auto" w:before="0" w:after="0"/>
        <w:jc w:val="center"/>
      </w:pPr>
    </w:p>
    <w:p>
      <w:pPr>
        <w:spacing w:line="360" w:lineRule="auto" w:before="0" w:after="0"/>
        <w:jc w:val="both"/>
      </w:pPr>
    </w:p>
    <w:p>
      <w:pPr>
        <w:spacing w:line="360" w:lineRule="auto" w:before="0" w:after="0"/>
        <w:jc w:val="both"/>
      </w:pPr>
    </w:p>
    <w:p>
      <w:pPr>
        <w:spacing w:line="360" w:lineRule="auto" w:before="0" w:after="0"/>
        <w:jc w:val="both"/>
      </w:pPr>
      <w:r>
        <w:rPr>
          <w:rFonts w:ascii="Arial" w:hAnsi="Arial"/>
          <w:b w:val="0"/>
          <w:sz w:val="24"/>
        </w:rPr>
        <w:t>Materia: Seminario de Integración y Aplicación</w:t>
      </w:r>
    </w:p>
    <w:p>
      <w:pPr>
        <w:spacing w:before="0" w:after="0"/>
      </w:pPr>
      <w:r>
        <w:rPr>
          <w:rFonts w:ascii="Arial" w:hAnsi="Arial"/>
          <w:b w:val="0"/>
          <w:sz w:val="24"/>
        </w:rPr>
        <w:t>Profesores: Dra. Deborah Noguera</w:t>
      </w:r>
    </w:p>
    <w:p>
      <w:pPr>
        <w:spacing w:before="0" w:after="0"/>
      </w:pPr>
      <w:r>
        <w:rPr>
          <w:rFonts w:ascii="Arial" w:hAnsi="Arial"/>
          <w:b w:val="0"/>
          <w:sz w:val="24"/>
        </w:rPr>
        <w:t xml:space="preserve">                   Esp. Federico Abeiro</w:t>
      </w:r>
    </w:p>
    <w:p>
      <w:pPr>
        <w:spacing w:before="0" w:after="0"/>
      </w:pPr>
      <w:r>
        <w:rPr>
          <w:rFonts w:ascii="Arial" w:hAnsi="Arial"/>
          <w:b w:val="0"/>
          <w:sz w:val="24"/>
        </w:rPr>
        <w:t xml:space="preserve">                   Esp. María Cecilia Aguirre</w:t>
      </w:r>
    </w:p>
    <w:p>
      <w:pPr>
        <w:spacing w:line="360" w:lineRule="auto" w:before="0" w:after="0"/>
        <w:jc w:val="both"/>
      </w:pPr>
    </w:p>
    <w:p>
      <w:pPr>
        <w:spacing w:line="360" w:lineRule="auto" w:before="0" w:after="0"/>
        <w:jc w:val="both"/>
      </w:pPr>
      <w:r>
        <w:rPr>
          <w:rFonts w:ascii="Arial" w:hAnsi="Arial"/>
          <w:b w:val="0"/>
          <w:sz w:val="24"/>
        </w:rPr>
        <w:t>Estudiante: Tec. Sup. en RRHH Héctor Daniel Ayarachi Fuentes</w:t>
      </w:r>
    </w:p>
    <w:p>
      <w:pPr>
        <w:spacing w:before="0" w:after="0"/>
      </w:pPr>
      <w:r>
        <w:rPr>
          <w:rFonts w:ascii="Arial" w:hAnsi="Arial"/>
          <w:b w:val="0"/>
          <w:sz w:val="24"/>
        </w:rPr>
        <w:t>DNI y LEGAJO: DNI N° 35.492.138 — Legajo N° 8252</w:t>
      </w:r>
    </w:p>
    <w:p>
      <w:pPr>
        <w:spacing w:before="0" w:after="0"/>
      </w:pPr>
      <w:r>
        <w:rPr>
          <w:rFonts w:ascii="Arial" w:hAnsi="Arial"/>
          <w:b w:val="0"/>
          <w:sz w:val="24"/>
        </w:rPr>
        <w:t>Email: hectordanielayarachifuentes@gmail.com</w:t>
      </w:r>
    </w:p>
    <w:p>
      <w:pPr>
        <w:spacing w:line="360" w:lineRule="auto" w:before="0" w:after="0"/>
        <w:jc w:val="both"/>
      </w:pPr>
    </w:p>
    <w:p>
      <w:pPr>
        <w:spacing w:line="360" w:lineRule="auto" w:before="0" w:after="0"/>
        <w:jc w:val="both"/>
      </w:pPr>
      <w:r>
        <w:rPr>
          <w:rFonts w:ascii="Arial" w:hAnsi="Arial"/>
          <w:b w:val="0"/>
          <w:sz w:val="24"/>
        </w:rPr>
        <w:t>Director/a: (A designar antes de finalizar el cursado del SIA)</w:t>
      </w:r>
    </w:p>
    <w:p>
      <w:pPr>
        <w:spacing w:line="360" w:lineRule="auto" w:before="0" w:after="0"/>
        <w:jc w:val="both"/>
      </w:pPr>
      <w:r>
        <w:rPr>
          <w:rFonts w:ascii="Arial" w:hAnsi="Arial"/>
          <w:b w:val="0"/>
          <w:sz w:val="24"/>
        </w:rPr>
        <w:t>Codirector/a: (A designar antes de finalizar el cursado del SIA)</w:t>
      </w:r>
    </w:p>
    <w:p>
      <w:pPr>
        <w:spacing w:before="0" w:after="0"/>
      </w:pPr>
    </w:p>
    <w:p>
      <w:pPr>
        <w:spacing w:before="0" w:after="0"/>
      </w:pPr>
    </w:p>
    <w:p>
      <w:pPr>
        <w:spacing w:before="0" w:after="0"/>
        <w:jc w:val="center"/>
      </w:pPr>
      <w:r>
        <w:rPr>
          <w:rFonts w:ascii="Arial" w:hAnsi="Arial"/>
          <w:b w:val="0"/>
          <w:sz w:val="24"/>
        </w:rPr>
        <w:t>Viedma, Río Negro — 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1. Tema de Investigación</w:t>
      </w:r>
      <w:r>
        <w:tab/>
      </w:r>
      <w:r>
        <w:rPr>
          <w:rFonts w:ascii="Arial" w:hAnsi="Arial"/>
          <w:sz w:val="22"/>
        </w:rPr>
        <w:t>1</w:t>
      </w:r>
    </w:p>
    <w:p>
      <w:pPr>
        <w:pStyle w:val="TOC1"/>
        <w:tabs>
          <w:tab w:val="right" w:leader="dot" w:pos="9026"/>
        </w:tabs>
        <w:ind w:left="0"/>
        <w:spacing w:after="60"/>
      </w:pPr>
      <w:r>
        <w:rPr>
          <w:rFonts w:ascii="Arial" w:hAnsi="Arial"/>
          <w:sz w:val="22"/>
        </w:rPr>
        <w:t>1.1 Identificación del Tema y Encuadre en el Modelo de Francisco Longo</w:t>
      </w:r>
      <w:r>
        <w:tab/>
      </w:r>
      <w:r>
        <w:rPr>
          <w:rFonts w:ascii="Arial" w:hAnsi="Arial"/>
          <w:sz w:val="22"/>
        </w:rPr>
        <w:t>1</w:t>
      </w:r>
    </w:p>
    <w:p>
      <w:pPr>
        <w:pStyle w:val="TOC1"/>
        <w:tabs>
          <w:tab w:val="right" w:leader="dot" w:pos="9026"/>
        </w:tabs>
        <w:ind w:left="0"/>
        <w:spacing w:after="60"/>
      </w:pPr>
      <w:r>
        <w:rPr>
          <w:rFonts w:ascii="Arial" w:hAnsi="Arial"/>
          <w:sz w:val="22"/>
        </w:rPr>
        <w:t>1.2 Descripción Contextual Socioeconómica, Histórica e Institucional</w:t>
      </w:r>
      <w:r>
        <w:tab/>
      </w:r>
      <w:r>
        <w:rPr>
          <w:rFonts w:ascii="Arial" w:hAnsi="Arial"/>
          <w:sz w:val="22"/>
        </w:rPr>
        <w:t>2</w:t>
      </w:r>
    </w:p>
    <w:p>
      <w:pPr>
        <w:pStyle w:val="TOC1"/>
        <w:tabs>
          <w:tab w:val="right" w:leader="dot" w:pos="9026"/>
        </w:tabs>
        <w:ind w:left="0"/>
        <w:spacing w:after="60"/>
      </w:pPr>
      <w:r>
        <w:rPr>
          <w:rFonts w:ascii="Arial" w:hAnsi="Arial"/>
          <w:sz w:val="22"/>
        </w:rPr>
        <w:t>2. Delimitación del Objeto Problema</w:t>
      </w:r>
      <w:r>
        <w:tab/>
      </w:r>
      <w:r>
        <w:rPr>
          <w:rFonts w:ascii="Arial" w:hAnsi="Arial"/>
          <w:sz w:val="22"/>
        </w:rPr>
        <w:t>4</w:t>
      </w:r>
    </w:p>
    <w:p>
      <w:pPr>
        <w:pStyle w:val="TOC1"/>
        <w:tabs>
          <w:tab w:val="right" w:leader="dot" w:pos="9026"/>
        </w:tabs>
        <w:ind w:left="0"/>
        <w:spacing w:after="60"/>
      </w:pPr>
      <w:r>
        <w:rPr>
          <w:rFonts w:ascii="Arial" w:hAnsi="Arial"/>
          <w:sz w:val="22"/>
        </w:rPr>
        <w:t>2.1 Problematización y Construcción del Objeto de Estudio</w:t>
      </w:r>
      <w:r>
        <w:tab/>
      </w:r>
      <w:r>
        <w:rPr>
          <w:rFonts w:ascii="Arial" w:hAnsi="Arial"/>
          <w:sz w:val="22"/>
        </w:rPr>
        <w:t>4</w:t>
      </w:r>
    </w:p>
    <w:p>
      <w:pPr>
        <w:pStyle w:val="TOC1"/>
        <w:tabs>
          <w:tab w:val="right" w:leader="dot" w:pos="9026"/>
        </w:tabs>
        <w:ind w:left="0"/>
        <w:spacing w:after="60"/>
      </w:pPr>
      <w:r>
        <w:rPr>
          <w:rFonts w:ascii="Arial" w:hAnsi="Arial"/>
          <w:sz w:val="22"/>
        </w:rPr>
        <w:t>2.2 Desglose de las Cuatro (4) Delimitaciones Metodológicas</w:t>
      </w:r>
      <w:r>
        <w:tab/>
      </w:r>
      <w:r>
        <w:rPr>
          <w:rFonts w:ascii="Arial" w:hAnsi="Arial"/>
          <w:sz w:val="22"/>
        </w:rPr>
        <w:t>5</w:t>
      </w:r>
    </w:p>
    <w:p>
      <w:pPr>
        <w:pStyle w:val="TOC1"/>
        <w:tabs>
          <w:tab w:val="right" w:leader="dot" w:pos="9026"/>
        </w:tabs>
        <w:ind w:left="0"/>
        <w:spacing w:after="60"/>
      </w:pPr>
      <w:r>
        <w:rPr>
          <w:rFonts w:ascii="Arial" w:hAnsi="Arial"/>
          <w:sz w:val="22"/>
        </w:rPr>
        <w:t>2.3 Operacionalización de las Dimensiones de Factibilidad</w:t>
      </w:r>
      <w:r>
        <w:tab/>
      </w:r>
      <w:r>
        <w:rPr>
          <w:rFonts w:ascii="Arial" w:hAnsi="Arial"/>
          <w:sz w:val="22"/>
        </w:rPr>
        <w:t>5</w:t>
      </w:r>
    </w:p>
    <w:p>
      <w:pPr>
        <w:pStyle w:val="TOC1"/>
        <w:tabs>
          <w:tab w:val="right" w:leader="dot" w:pos="9026"/>
        </w:tabs>
        <w:ind w:left="0"/>
        <w:spacing w:after="60"/>
      </w:pPr>
      <w:r>
        <w:rPr>
          <w:rFonts w:ascii="Arial" w:hAnsi="Arial"/>
          <w:sz w:val="22"/>
        </w:rPr>
        <w:t>2.3.1 Definición Conceptual y Operativa de Factibilidad</w:t>
      </w:r>
      <w:r>
        <w:tab/>
      </w:r>
      <w:r>
        <w:rPr>
          <w:rFonts w:ascii="Arial" w:hAnsi="Arial"/>
          <w:sz w:val="22"/>
        </w:rPr>
        <w:t>5</w:t>
      </w:r>
    </w:p>
    <w:p>
      <w:pPr>
        <w:pStyle w:val="TOC1"/>
        <w:tabs>
          <w:tab w:val="right" w:leader="dot" w:pos="9026"/>
        </w:tabs>
        <w:ind w:left="0"/>
        <w:spacing w:after="60"/>
      </w:pPr>
      <w:r>
        <w:rPr>
          <w:rFonts w:ascii="Arial" w:hAnsi="Arial"/>
          <w:sz w:val="22"/>
        </w:rPr>
        <w:t>2.3.2 Dimensiones de Observación y Fuentes Empíricas</w:t>
      </w:r>
      <w:r>
        <w:tab/>
      </w:r>
      <w:r>
        <w:rPr>
          <w:rFonts w:ascii="Arial" w:hAnsi="Arial"/>
          <w:sz w:val="22"/>
        </w:rPr>
        <w:t>6</w:t>
      </w:r>
    </w:p>
    <w:p>
      <w:pPr>
        <w:pStyle w:val="TOC1"/>
        <w:tabs>
          <w:tab w:val="right" w:leader="dot" w:pos="9026"/>
        </w:tabs>
        <w:ind w:left="0"/>
        <w:spacing w:after="60"/>
      </w:pPr>
      <w:r>
        <w:rPr>
          <w:rFonts w:ascii="Arial" w:hAnsi="Arial"/>
          <w:sz w:val="22"/>
        </w:rPr>
        <w:t>2.3.3 Criterios Cualitativos para la Interpretación de Resultados</w:t>
      </w:r>
      <w:r>
        <w:tab/>
      </w:r>
      <w:r>
        <w:rPr>
          <w:rFonts w:ascii="Arial" w:hAnsi="Arial"/>
          <w:sz w:val="22"/>
        </w:rPr>
        <w:t>7</w:t>
      </w:r>
    </w:p>
    <w:p>
      <w:pPr>
        <w:pStyle w:val="TOC1"/>
        <w:tabs>
          <w:tab w:val="right" w:leader="dot" w:pos="9026"/>
        </w:tabs>
        <w:ind w:left="0"/>
        <w:spacing w:after="60"/>
      </w:pPr>
      <w:r>
        <w:rPr>
          <w:rFonts w:ascii="Arial" w:hAnsi="Arial"/>
          <w:sz w:val="22"/>
        </w:rPr>
        <w:t>2.4 Pregunta General de Investigación</w:t>
      </w:r>
      <w:r>
        <w:tab/>
      </w:r>
      <w:r>
        <w:rPr>
          <w:rFonts w:ascii="Arial" w:hAnsi="Arial"/>
          <w:sz w:val="22"/>
        </w:rPr>
        <w:t>7</w:t>
      </w:r>
    </w:p>
    <w:p>
      <w:pPr>
        <w:pStyle w:val="TOC1"/>
        <w:tabs>
          <w:tab w:val="right" w:leader="dot" w:pos="9026"/>
        </w:tabs>
        <w:ind w:left="0"/>
        <w:spacing w:after="60"/>
      </w:pPr>
      <w:r>
        <w:rPr>
          <w:rFonts w:ascii="Arial" w:hAnsi="Arial"/>
          <w:sz w:val="22"/>
        </w:rPr>
        <w:t>3. Justificación y Relevancia de la Investigación</w:t>
      </w:r>
      <w:r>
        <w:tab/>
      </w:r>
      <w:r>
        <w:rPr>
          <w:rFonts w:ascii="Arial" w:hAnsi="Arial"/>
          <w:sz w:val="22"/>
        </w:rPr>
        <w:t>8</w:t>
      </w:r>
    </w:p>
    <w:p>
      <w:pPr>
        <w:pStyle w:val="TOC1"/>
        <w:tabs>
          <w:tab w:val="right" w:leader="dot" w:pos="9026"/>
        </w:tabs>
        <w:ind w:left="0"/>
        <w:spacing w:after="60"/>
      </w:pPr>
      <w:r>
        <w:rPr>
          <w:rFonts w:ascii="Arial" w:hAnsi="Arial"/>
          <w:sz w:val="22"/>
        </w:rPr>
        <w:t>3.1 Plano Cognitivo y Disciplinar</w:t>
      </w:r>
      <w:r>
        <w:tab/>
      </w:r>
      <w:r>
        <w:rPr>
          <w:rFonts w:ascii="Arial" w:hAnsi="Arial"/>
          <w:sz w:val="22"/>
        </w:rPr>
        <w:t>8</w:t>
      </w:r>
    </w:p>
    <w:p>
      <w:pPr>
        <w:pStyle w:val="TOC1"/>
        <w:tabs>
          <w:tab w:val="right" w:leader="dot" w:pos="9026"/>
        </w:tabs>
        <w:ind w:left="0"/>
        <w:spacing w:after="60"/>
      </w:pPr>
      <w:r>
        <w:rPr>
          <w:rFonts w:ascii="Arial" w:hAnsi="Arial"/>
          <w:sz w:val="22"/>
        </w:rPr>
        <w:t>3.2 Plano Social e Institucional</w:t>
      </w:r>
      <w:r>
        <w:tab/>
      </w:r>
      <w:r>
        <w:rPr>
          <w:rFonts w:ascii="Arial" w:hAnsi="Arial"/>
          <w:sz w:val="22"/>
        </w:rPr>
        <w:t>8</w:t>
      </w:r>
    </w:p>
    <w:p>
      <w:pPr>
        <w:pStyle w:val="TOC1"/>
        <w:tabs>
          <w:tab w:val="right" w:leader="dot" w:pos="9026"/>
        </w:tabs>
        <w:ind w:left="0"/>
        <w:spacing w:after="60"/>
      </w:pPr>
      <w:r>
        <w:rPr>
          <w:rFonts w:ascii="Arial" w:hAnsi="Arial"/>
          <w:sz w:val="22"/>
        </w:rPr>
        <w:t>3.3 Plano Personal y Profesional</w:t>
      </w:r>
      <w:r>
        <w:tab/>
      </w:r>
      <w:r>
        <w:rPr>
          <w:rFonts w:ascii="Arial" w:hAnsi="Arial"/>
          <w:sz w:val="22"/>
        </w:rPr>
        <w:t>9</w:t>
      </w:r>
    </w:p>
    <w:p>
      <w:pPr>
        <w:pStyle w:val="TOC1"/>
        <w:tabs>
          <w:tab w:val="right" w:leader="dot" w:pos="9026"/>
        </w:tabs>
        <w:ind w:left="0"/>
        <w:spacing w:after="60"/>
      </w:pPr>
      <w:r>
        <w:rPr>
          <w:rFonts w:ascii="Arial" w:hAnsi="Arial"/>
          <w:sz w:val="22"/>
        </w:rPr>
        <w:t>4. Definición de Objetivos del TFG</w:t>
      </w:r>
      <w:r>
        <w:tab/>
      </w:r>
      <w:r>
        <w:rPr>
          <w:rFonts w:ascii="Arial" w:hAnsi="Arial"/>
          <w:sz w:val="22"/>
        </w:rPr>
        <w:t>9</w:t>
      </w:r>
    </w:p>
    <w:p>
      <w:pPr>
        <w:pStyle w:val="TOC1"/>
        <w:tabs>
          <w:tab w:val="right" w:leader="dot" w:pos="9026"/>
        </w:tabs>
        <w:ind w:left="0"/>
        <w:spacing w:after="60"/>
      </w:pPr>
      <w:r>
        <w:rPr>
          <w:rFonts w:ascii="Arial" w:hAnsi="Arial"/>
          <w:sz w:val="22"/>
        </w:rPr>
        <w:t>4.1 Objetivo General</w:t>
      </w:r>
      <w:r>
        <w:tab/>
      </w:r>
      <w:r>
        <w:rPr>
          <w:rFonts w:ascii="Arial" w:hAnsi="Arial"/>
          <w:sz w:val="22"/>
        </w:rPr>
        <w:t>9</w:t>
      </w:r>
    </w:p>
    <w:p>
      <w:pPr>
        <w:pStyle w:val="TOC1"/>
        <w:tabs>
          <w:tab w:val="right" w:leader="dot" w:pos="9026"/>
        </w:tabs>
        <w:ind w:left="0"/>
        <w:spacing w:after="60"/>
      </w:pPr>
      <w:r>
        <w:rPr>
          <w:rFonts w:ascii="Arial" w:hAnsi="Arial"/>
          <w:sz w:val="22"/>
        </w:rPr>
        <w:t>4.2 Objetivos Específicos</w:t>
      </w:r>
      <w:r>
        <w:tab/>
      </w:r>
      <w:r>
        <w:rPr>
          <w:rFonts w:ascii="Arial" w:hAnsi="Arial"/>
          <w:sz w:val="22"/>
        </w:rPr>
        <w:t>9</w:t>
      </w:r>
    </w:p>
    <w:p>
      <w:pPr>
        <w:pStyle w:val="TOC1"/>
        <w:tabs>
          <w:tab w:val="right" w:leader="dot" w:pos="9026"/>
        </w:tabs>
        <w:ind w:left="0"/>
        <w:spacing w:after="60"/>
      </w:pPr>
      <w:r>
        <w:rPr>
          <w:rFonts w:ascii="Arial" w:hAnsi="Arial"/>
          <w:sz w:val="22"/>
        </w:rPr>
        <w:t>4.3 Matriz de Consistencia Metodológica y Articulación con Longo (2004)</w:t>
      </w:r>
      <w:r>
        <w:tab/>
      </w:r>
      <w:r>
        <w:rPr>
          <w:rFonts w:ascii="Arial" w:hAnsi="Arial"/>
          <w:sz w:val="22"/>
        </w:rPr>
        <w:t>9</w:t>
      </w:r>
    </w:p>
    <w:p>
      <w:pPr>
        <w:pStyle w:val="TOC1"/>
        <w:tabs>
          <w:tab w:val="right" w:leader="dot" w:pos="9026"/>
        </w:tabs>
        <w:ind w:left="0"/>
        <w:spacing w:after="60"/>
      </w:pPr>
      <w:r>
        <w:rPr>
          <w:rFonts w:ascii="Arial" w:hAnsi="Arial"/>
          <w:sz w:val="22"/>
        </w:rPr>
        <w:t>Referencias</w:t>
      </w:r>
      <w:r>
        <w:tab/>
      </w:r>
      <w:r>
        <w:rPr>
          <w:rFonts w:ascii="Arial" w:hAnsi="Arial"/>
          <w:sz w:val="22"/>
        </w:rPr>
        <w:t>11</w:t>
      </w:r>
    </w:p>
    <w:p>
      <w:pPr>
        <w:pStyle w:val="TOC1"/>
        <w:tabs>
          <w:tab w:val="right" w:leader="dot" w:pos="9026"/>
        </w:tabs>
        <w:ind w:left="0"/>
        <w:spacing w:after="60"/>
      </w:pPr>
      <w:r>
        <w:rPr>
          <w:rFonts w:ascii="Arial" w:hAnsi="Arial"/>
          <w:sz w:val="22"/>
        </w:rPr>
        <w:t>Bibliografía</w:t>
      </w:r>
      <w:r>
        <w:tab/>
      </w:r>
      <w:r>
        <w:rPr>
          <w:rFonts w:ascii="Arial" w:hAnsi="Arial"/>
          <w:sz w:val="22"/>
        </w:rPr>
        <w:t>11</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2: Primera Parte de la Estructura del Proyecto de Investigación de TFG)</w:t>
      </w:r>
    </w:p>
    <w:p>
      <w:pPr>
        <w:pStyle w:val="Heading1"/>
        <w:keepNext/>
        <w:spacing w:before="240" w:after="120" w:line="300" w:lineRule="auto"/>
      </w:pPr>
      <w:r>
        <w:rPr>
          <w:rFonts w:ascii="Arial" w:hAnsi="Arial"/>
          <w:b/>
          <w:sz w:val="28"/>
        </w:rPr>
        <w:t xml:space="preserve">1. 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2"/>
        <w:keepNext/>
        <w:spacing w:before="200" w:after="80" w:line="300" w:lineRule="auto"/>
      </w:pPr>
      <w:r>
        <w:rPr>
          <w:rFonts w:ascii="Arial" w:hAnsi="Arial"/>
          <w:b/>
          <w:sz w:val="24"/>
        </w:rPr>
        <w:t xml:space="preserve">1.1 Identificación del Tema y Encuadre en el Modelo de Francisco Longo</w:t>
      </w:r>
    </w:p>
    <w:p>
      <w:pPr>
        <w:pStyle w:val="FirstParagraph"/>
      </w:pPr>
      <w:r>
        <w:t xml:space="preserve">Este proyecto de investigación se ubica en el cruce disciplinar entre la</w:t>
      </w:r>
      <w:r>
        <w:t xml:space="preserve"> </w:t>
      </w:r>
      <w:r>
        <w:rPr>
          <w:b/>
          <w:bCs/>
        </w:rPr>
        <w:t xml:space="preserve">Administración Pública</w:t>
      </w:r>
      <w:r>
        <w:t xml:space="preserve"> </w:t>
      </w:r>
      <w:r>
        <w:t xml:space="preserve">y la</w:t>
      </w:r>
      <w:r>
        <w:t xml:space="preserve"> </w:t>
      </w:r>
      <w:r>
        <w:rPr>
          <w:b/>
          <w:bCs/>
        </w:rPr>
        <w:t xml:space="preserve">Gestión de Recursos Humanos</w:t>
      </w:r>
      <w:r>
        <w:t xml:space="preserve">.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w:t>
      </w:r>
      <w:r>
        <w:t xml:space="preserve"> </w:t>
      </w:r>
      <w:r>
        <w:t xml:space="preserve">(Universidad Nacional del Comahue -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w:t>
      </w:r>
      <w:r>
        <w:t xml:space="preserve"> </w:t>
      </w:r>
      <w:r>
        <w:rPr>
          <w:b/>
          <w:bCs/>
        </w:rPr>
        <w:t xml:space="preserve">Modelo de Gestión del Empleo Público y Recursos Humanos</w:t>
      </w:r>
      <w:r>
        <w:t xml:space="preserve"> </w:t>
      </w:r>
      <w:r>
        <w:t xml:space="preserve">de</w:t>
      </w:r>
      <w:r>
        <w:t xml:space="preserve"> </w:t>
      </w:r>
      <w:r>
        <w:rPr>
          <w:b/>
          <w:bCs/>
        </w:rPr>
        <w:t xml:space="preserve">Francisco</w:t>
      </w:r>
      <w:r>
        <w:rPr>
          <w:b/>
          <w:bCs/>
        </w:rPr>
        <w:t xml:space="preserve"> </w:t>
      </w:r>
      <w:r>
        <w:rPr>
          <w:b/>
          <w:bCs/>
        </w:rPr>
        <w:t xml:space="preserve">Longo (2004)</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4)."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2004)</w:t>
      </w:r>
      <w:r>
        <w:rPr>
          <w:i/>
          <w:iCs/>
        </w:rPr>
        <w:t xml:space="preserve">.</w:t>
      </w:r>
    </w:p>
    <w:p>
      <w:pPr>
        <w:pStyle w:val="BodyText"/>
      </w:pPr>
      <w:r>
        <w:t xml:space="preserve">Dentro de este esquema, el trabajo hace foco en el</w:t>
      </w:r>
      <w:r>
        <w:t xml:space="preserve"> </w:t>
      </w:r>
      <w:r>
        <w:rPr>
          <w:b/>
          <w:bCs/>
        </w:rPr>
        <w:t xml:space="preserve">Subsistema de Gestión del Rendimiento (Evaluación del Desempeño)</w:t>
      </w:r>
      <w:r>
        <w:t xml:space="preserve">, articulado con tres subsistemas clave:</w:t>
      </w:r>
      <w:r>
        <w:t xml:space="preserve"> </w:t>
      </w:r>
      <w:r>
        <w:rPr>
          <w:b/>
          <w:bCs/>
        </w:rPr>
        <w:t xml:space="preserve">Gestión del Desarrollo</w:t>
      </w:r>
      <w:r>
        <w:t xml:space="preserve"> </w:t>
      </w:r>
      <w:r>
        <w:t xml:space="preserve">(capacitación y carrera docente),</w:t>
      </w:r>
      <w:r>
        <w:t xml:space="preserve"> </w:t>
      </w:r>
      <w:r>
        <w:rPr>
          <w:b/>
          <w:bCs/>
        </w:rPr>
        <w:t xml:space="preserve">Organización del Trabajo</w:t>
      </w:r>
      <w:r>
        <w:t xml:space="preserve"> </w:t>
      </w:r>
      <w:r>
        <w:t xml:space="preserve">(perfiles y funciones académicas) y</w:t>
      </w:r>
      <w:r>
        <w:t xml:space="preserve"> </w:t>
      </w:r>
      <w:r>
        <w:rPr>
          <w:b/>
          <w:bCs/>
        </w:rPr>
        <w:t xml:space="preserve">Gestión de las Relaciones Humanas</w:t>
      </w:r>
      <w:r>
        <w:t xml:space="preserve"> </w:t>
      </w:r>
      <w:r>
        <w:t xml:space="preserve">(clima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w:t>
      </w:r>
      <w:r>
        <w:t xml:space="preserve"> </w:t>
      </w:r>
      <w:r>
        <w:rPr>
          <w:b/>
          <w:bCs/>
        </w:rPr>
        <w:t xml:space="preserve">retroalimentación 360 grados</w:t>
      </w:r>
      <w:r>
        <w:t xml:space="preserve"> </w:t>
      </w:r>
      <w:r>
        <w:t xml:space="preserve">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2"/>
        <w:keepNext/>
        <w:spacing w:before="200" w:after="80" w:line="300" w:lineRule="auto"/>
      </w:pPr>
      <w:r>
        <w:rPr>
          <w:rFonts w:ascii="Arial" w:hAnsi="Arial"/>
          <w:b/>
          <w:sz w:val="24"/>
        </w:rPr>
        <w:t xml:space="preserve">1.2 Descripción Contextual Socioeconómica, Histórica e Institucional</w:t>
      </w:r>
    </w:p>
    <w:p>
      <w:pPr>
        <w:pStyle w:val="FirstParagraph"/>
      </w:pPr>
      <w:r>
        <w:t xml:space="preserve">El estudio se sitúa en el</w:t>
      </w:r>
      <w:r>
        <w:t xml:space="preserve"> </w:t>
      </w:r>
      <w:r>
        <w:rPr>
          <w:b/>
          <w:bCs/>
        </w:rPr>
        <w:t xml:space="preserve">Complejo Universitario Regional Zona Atlántica y Sur (CURZAS)</w:t>
      </w:r>
      <w:r>
        <w:t xml:space="preserve">, unidad académica descentralizada de la</w:t>
      </w:r>
      <w:r>
        <w:t xml:space="preserve"> </w:t>
      </w:r>
      <w:r>
        <w:rPr>
          <w:b/>
          <w:bCs/>
        </w:rPr>
        <w:t xml:space="preserve">Universidad Nacional del Comahue (UNCo)</w:t>
      </w:r>
      <w:r>
        <w:t xml:space="preserve"> </w:t>
      </w:r>
      <w:r>
        <w:t xml:space="preserve">en la ciudad de Viedma, capital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w:t>
      </w:r>
      <w:r>
        <w:t xml:space="preserve"> </w:t>
      </w:r>
      <w:r>
        <w:rPr>
          <w:b/>
          <w:bCs/>
        </w:rPr>
        <w:t xml:space="preserve">Departamento de Administración Pública</w:t>
      </w:r>
      <w:r>
        <w:t xml:space="preserve"> </w:t>
      </w:r>
      <w:r>
        <w:t xml:space="preserve">cumple una función estratégica en el desarrollo comarcal y provincial. Tiene a su cargo las carreras de Licenciatura en Administración Pública, Licenciatura en Gestión de Recursos Humanos y ciclos de complementación curricular para agentes públicos. Su comunidad estudiantil está conformada tanto por jóvenes de la comarca Viedma-Carmen de Patagones como por trabajadores insertos en organismos públicos de diversa índole.</w:t>
      </w:r>
    </w:p>
    <w:p>
      <w:pPr>
        <w:pStyle w:val="BodyText"/>
      </w:pPr>
      <w:r>
        <w:t xml:space="preserve">A esta realidad se suma la consolidación de la</w:t>
      </w:r>
      <w:r>
        <w:t xml:space="preserve"> </w:t>
      </w:r>
      <w:r>
        <w:rPr>
          <w:b/>
          <w:bCs/>
        </w:rPr>
        <w:t xml:space="preserve">Red de Nodos Universitarios</w:t>
      </w:r>
      <w:r>
        <w:t xml:space="preserve"> </w:t>
      </w:r>
      <w:r>
        <w:t xml:space="preserve">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0920/2019 y sus modificatorias)</w:t>
      </w:r>
      <w:r>
        <w:t xml:space="preserve"> </w:t>
      </w:r>
      <w:r>
        <w:t xml:space="preserve">(Universidad Nacional del Comahue, 2019)</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w:t>
      </w:r>
      <w:r>
        <w:t xml:space="preserve"> </w:t>
      </w:r>
      <w:r>
        <w:rPr>
          <w:b/>
          <w:bCs/>
        </w:rPr>
        <w:t xml:space="preserve">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w:t>
      </w:r>
      <w:r>
        <w:t xml:space="preserve"> </w:t>
      </w:r>
      <w:r>
        <w:rPr>
          <w:b/>
          <w:bCs/>
        </w:rPr>
        <w:t xml:space="preserve">será necesario indagar empíricamente si</w:t>
      </w:r>
      <w:r>
        <w:t xml:space="preserve"> </w:t>
      </w:r>
      <w:r>
        <w:t xml:space="preserve">estas herramientas generan instancias efectivas de retroalimentación pedagógica y si sus resultados se vinculan efectivamente con planes de formación docente para el período</w:t>
      </w:r>
      <w:r>
        <w:t xml:space="preserve"> </w:t>
      </w:r>
      <w:r>
        <w:rPr>
          <w:b/>
          <w:bCs/>
        </w:rPr>
        <w:t xml:space="preserve">2025–2026</w:t>
      </w:r>
      <w:r>
        <w:t xml:space="preserve">.</w:t>
      </w:r>
    </w:p>
    <w:bookmarkEnd w:id="17"/>
    <w:bookmarkEnd w:id="18"/>
    <w:bookmarkStart w:id="26" w:name="delimitación-del-objeto-problema"/>
    <w:p>
      <w:pPr>
        <w:pStyle w:val="Heading1"/>
        <w:keepNext/>
        <w:spacing w:before="240" w:after="120" w:line="300" w:lineRule="auto"/>
      </w:pPr>
      <w:r>
        <w:rPr>
          <w:rFonts w:ascii="Arial" w:hAnsi="Arial"/>
          <w:b/>
          <w:sz w:val="28"/>
        </w:rPr>
        <w:t xml:space="preserve">2. 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2"/>
        <w:keepNext/>
        <w:spacing w:before="200" w:after="80" w:line="300" w:lineRule="auto"/>
      </w:pPr>
      <w:r>
        <w:rPr>
          <w:rFonts w:ascii="Arial" w:hAnsi="Arial"/>
          <w:b/>
          <w:sz w:val="24"/>
        </w:rPr>
        <w:t xml:space="preserve">2.1 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2004)</w:t>
      </w:r>
      <w:r>
        <w:t xml:space="preserve">.</w:t>
      </w:r>
    </w:p>
    <w:p>
      <w:pPr>
        <w:pStyle w:val="BodyText"/>
      </w:pPr>
      <w:r>
        <w:t xml:space="preserve">En este sentido, la investigación no parte de suponer una falta de mecanismos de evaluación —ya que existen normas y procedimientos vigentes—, sino de indagar la</w:t>
      </w:r>
      <w:r>
        <w:t xml:space="preserve"> </w:t>
      </w:r>
      <w:r>
        <w:rPr>
          <w:b/>
          <w:bCs/>
        </w:rPr>
        <w:t xml:space="preserve">posible desconexión entre los circuitos de evaluación del rendimiento y las oportunidades reales de desarrollo pedagógico</w:t>
      </w:r>
      <w:r>
        <w:t xml:space="preserve">. Se formula como</w:t>
      </w:r>
      <w:r>
        <w:t xml:space="preserve"> </w:t>
      </w:r>
      <w:r>
        <w:rPr>
          <w:b/>
          <w:bCs/>
        </w:rPr>
        <w:t xml:space="preserve">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w:t>
      </w:r>
      <w:r>
        <w:t xml:space="preserve"> </w:t>
      </w:r>
      <w:r>
        <w:rPr>
          <w:b/>
          <w:bCs/>
        </w:rPr>
        <w:t xml:space="preserve">retroalimentación multiactoral o 360 grados</w:t>
      </w:r>
      <w:r>
        <w:t xml:space="preserve"> </w:t>
      </w:r>
      <w:r>
        <w:t xml:space="preserve">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w:t>
      </w:r>
      <w:r>
        <w:t xml:space="preserve"> </w:t>
      </w:r>
      <w:r>
        <w:rPr>
          <w:b/>
          <w:bCs/>
        </w:rPr>
        <w:t xml:space="preserve">diferenciar la evaluación orientada a la mejora pedagógica de aquella vinculada a decisiones laborales sumativas</w:t>
      </w:r>
      <w:r>
        <w:t xml:space="preserve">.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del Director del Departamento en los informes anuales del legajo académico (Art. 74), la singularidad y valor añadido de este proyecto radica en analizar la factibilidad de un</w:t>
      </w:r>
      <w:r>
        <w:t xml:space="preserve"> </w:t>
      </w:r>
      <w:r>
        <w:rPr>
          <w:b/>
          <w:bCs/>
        </w:rPr>
        <w:t xml:space="preserve">circuito de retroalimentación 360° estrictamente formativo, confidencial e independiente del legajo sumativo</w:t>
      </w:r>
      <w:r>
        <w:t xml:space="preserve">.</w:t>
      </w:r>
    </w:p>
    <w:p>
      <w:pPr>
        <w:pStyle w:val="BodyText"/>
      </w:pPr>
      <w:r>
        <w:t xml:space="preserve">Dicho dispositivo busca articular los insumos de los claustros (docentes y estudiantes) y de la Dirección del Departamento —elegida por quienes integran el departamento por un período de dos años (Art. 14)— para alimentar de forma directa el Programa Anual de Formación de Recursos Humanos del Departamento (Art. 76) y el perfeccionamiento continuo de la Carrera Docente (Art. 65). Por ello, la viabilidad de la propuesta descansa en la</w:t>
      </w:r>
      <w:r>
        <w:t xml:space="preserve"> </w:t>
      </w:r>
      <w:r>
        <w:rPr>
          <w:b/>
          <w:bCs/>
        </w:rPr>
        <w:t xml:space="preserve">gobernanza universitaria</w:t>
      </w:r>
      <w:r>
        <w:t xml:space="preserve">: un espacio colegiado donde las políticas de gestión de personas se construyen sobre</w:t>
      </w:r>
      <w:r>
        <w:t xml:space="preserve"> </w:t>
      </w:r>
      <w:r>
        <w:rPr>
          <w:i/>
          <w:iCs/>
        </w:rPr>
        <w:t xml:space="preserve">variables de control compartido</w:t>
      </w:r>
      <w:r>
        <w:t xml:space="preserve"> </w:t>
      </w:r>
      <w:r>
        <w:t xml:space="preserve">(Longo, 2004; Matus, 1993)</w:t>
      </w:r>
      <w:r>
        <w:t xml:space="preserve">.</w:t>
      </w:r>
    </w:p>
    <w:bookmarkEnd w:id="19"/>
    <w:bookmarkStart w:id="20" w:name="Xd94378588030de20cc99227353d9ba92b45f085"/>
    <w:p>
      <w:pPr>
        <w:pStyle w:val="Heading2"/>
        <w:keepNext/>
        <w:spacing w:before="200" w:after="80" w:line="300" w:lineRule="auto"/>
      </w:pPr>
      <w:r>
        <w:rPr>
          <w:rFonts w:ascii="Arial" w:hAnsi="Arial"/>
          <w:b/>
          <w:sz w:val="24"/>
        </w:rPr>
        <w:t xml:space="preserve">2.2 Desglose de las Cuatro (4) Delimitaciones Metodológicas</w:t>
      </w:r>
    </w:p>
    <w:p>
      <w:pPr>
        <w:pStyle w:val="FirstParagraph"/>
      </w:pPr>
      <w:r>
        <w:t xml:space="preserve">Siguiendo las pautas de la cátedra, la delimitación del problema comprende cuatro dimensiones constitutivas:</w:t>
      </w:r>
    </w:p>
    <w:p>
      <w:pPr>
        <w:pStyle w:val="Compact"/>
        <w:numPr>
          <w:ilvl w:val="0"/>
          <w:numId w:val="1001"/>
        </w:numPr>
      </w:pPr>
      <w:r>
        <w:rPr>
          <w:b/>
          <w:bCs/>
        </w:rPr>
        <w:t xml:space="preserve">Delimitación Temática:</w:t>
      </w:r>
      <w:r>
        <w:t xml:space="preserve"> </w:t>
      </w:r>
      <w:r>
        <w:t xml:space="preserve">Mecanismos de estructuración de la evaluación del desempeño docente y análisis de factibilidad para implementar un modelo de retroalimentación multiactoral (360°), articulando autoevaluación, valoración de pares, opinión de estudiantes y seguimiento departamental.</w:t>
      </w:r>
    </w:p>
    <w:p>
      <w:pPr>
        <w:pStyle w:val="Compact"/>
        <w:numPr>
          <w:ilvl w:val="0"/>
          <w:numId w:val="1001"/>
        </w:numPr>
      </w:pPr>
      <w:r>
        <w:rPr>
          <w:b/>
          <w:bCs/>
        </w:rPr>
        <w:t xml:space="preserve">Delimitación Semántica y Teórica:</w:t>
      </w:r>
      <w:r>
        <w:t xml:space="preserve"> </w:t>
      </w:r>
      <w:r>
        <w:t xml:space="preserve">Precisión de conceptos estructurantes:</w:t>
      </w:r>
      <w:r>
        <w:t xml:space="preserve"> </w:t>
      </w:r>
      <w:r>
        <w:rPr>
          <w:i/>
          <w:iCs/>
        </w:rPr>
        <w:t xml:space="preserve">Evaluación del Desempeño Docente</w:t>
      </w:r>
      <w:r>
        <w:t xml:space="preserve"> </w:t>
      </w:r>
      <w:r>
        <w:t xml:space="preserve">(apreciación formativa del quehacer pedagógico en el subsistema de rendimiento);</w:t>
      </w:r>
      <w:r>
        <w:t xml:space="preserve"> </w:t>
      </w:r>
      <w:r>
        <w:rPr>
          <w:i/>
          <w:iCs/>
        </w:rPr>
        <w:t xml:space="preserve">Modelo 360° / Retroalimentación Multiactoral</w:t>
      </w:r>
      <w:r>
        <w:t xml:space="preserve"> </w:t>
      </w:r>
      <w:r>
        <w:t xml:space="preserve">(dispositivo de consulta y triangulación de juicios valorativos);</w:t>
      </w:r>
      <w:r>
        <w:t xml:space="preserve"> </w:t>
      </w:r>
      <w:r>
        <w:rPr>
          <w:i/>
          <w:iCs/>
        </w:rPr>
        <w:t xml:space="preserve">Gobernanza Universitaria</w:t>
      </w:r>
      <w:r>
        <w:t xml:space="preserve"> </w:t>
      </w:r>
      <w:r>
        <w:t xml:space="preserve">[cogobierno, diálogo paritario y control compartido de variables institucionales;</w:t>
      </w:r>
      <w:r>
        <w:t xml:space="preserve"> </w:t>
      </w:r>
      <w:r>
        <w:t xml:space="preserve">Matus (1993)</w:t>
      </w:r>
      <w:r>
        <w:t xml:space="preserve">]; y</w:t>
      </w:r>
      <w:r>
        <w:t xml:space="preserve"> </w:t>
      </w:r>
      <w:r>
        <w:rPr>
          <w:i/>
          <w:iCs/>
        </w:rPr>
        <w:t xml:space="preserve">Gestión del Desarrollo</w:t>
      </w:r>
      <w:r>
        <w:t xml:space="preserve"> </w:t>
      </w:r>
      <w:r>
        <w:t xml:space="preserve">[aprendizaje continuo y formación pedagógica articulada;</w:t>
      </w:r>
      <w:r>
        <w:t xml:space="preserve"> </w:t>
      </w:r>
      <w:r>
        <w:t xml:space="preserve">Longo (2004)</w:t>
      </w:r>
      <w:r>
        <w:t xml:space="preserve">].</w:t>
      </w:r>
    </w:p>
    <w:p>
      <w:pPr>
        <w:pStyle w:val="Compact"/>
        <w:numPr>
          <w:ilvl w:val="0"/>
          <w:numId w:val="1001"/>
        </w:numPr>
      </w:pPr>
      <w:r>
        <w:rPr>
          <w:b/>
          <w:bCs/>
        </w:rPr>
        <w:t xml:space="preserve">Delimitación Temporal:</w:t>
      </w:r>
      <w:r>
        <w:t xml:space="preserve"> </w:t>
      </w:r>
      <w:r>
        <w:t xml:space="preserve">Período de investigación</w:t>
      </w:r>
      <w:r>
        <w:t xml:space="preserve"> </w:t>
      </w:r>
      <w:r>
        <w:rPr>
          <w:b/>
          <w:bCs/>
        </w:rPr>
        <w:t xml:space="preserve">2025–2026</w:t>
      </w:r>
      <w:r>
        <w:t xml:space="preserve">, organizado en dos etapas:</w:t>
      </w:r>
    </w:p>
    <w:p>
      <w:pPr>
        <w:pStyle w:val="Compact"/>
        <w:numPr>
          <w:ilvl w:val="1"/>
          <w:numId w:val="1002"/>
        </w:numPr>
      </w:pPr>
      <w:r>
        <w:rPr>
          <w:b/>
          <w:bCs/>
        </w:rPr>
        <w:t xml:space="preserve">Fase preliminar y documental (2025–primer semestre 2026):</w:t>
      </w:r>
      <w:r>
        <w:t xml:space="preserve"> </w:t>
      </w:r>
      <w:r>
        <w:t xml:space="preserve">Formulación del problema, revisión bibliográfica sistemática sobre evaluación 360°, análisis normativo institucional (Estatuto UNCo, Ordenanza CS N° 0988/2025; Carrera Docente, Ordenanza CS N° 0920/2019 con sus modificatorias; CCT Docente, Decreto N° 1246/2015) y diseño metodológico.</w:t>
      </w:r>
    </w:p>
    <w:p>
      <w:pPr>
        <w:pStyle w:val="Compact"/>
        <w:numPr>
          <w:ilvl w:val="1"/>
          <w:numId w:val="1002"/>
        </w:numPr>
      </w:pPr>
      <w:r>
        <w:rPr>
          <w:b/>
          <w:bCs/>
        </w:rPr>
        <w:t xml:space="preserve">Fase empírica y propositiva (2026):</w:t>
      </w:r>
      <w:r>
        <w:t xml:space="preserve"> </w:t>
      </w:r>
      <w:r>
        <w:t xml:space="preserve">Trabajo de campo mediante entrevistas a autoridades y docentes, encuestas a estudiantes, análisis multidimensional de factibilidad e informe final de Tesina para el Seminario de Integración y Aplicación (SIA).</w:t>
      </w:r>
    </w:p>
    <w:p>
      <w:pPr>
        <w:pStyle w:val="Compact"/>
        <w:numPr>
          <w:ilvl w:val="0"/>
          <w:numId w:val="1001"/>
        </w:numPr>
      </w:pPr>
      <w:r>
        <w:rPr>
          <w:b/>
          <w:bCs/>
        </w:rPr>
        <w:t xml:space="preserve">Delimitación Geográfica e Institucional:</w:t>
      </w:r>
      <w:r>
        <w:t xml:space="preserve"> </w:t>
      </w:r>
      <w:r>
        <w:t xml:space="preserve">Departamento de Administración Pública, Complejo Universitario Regional Zona Atlántica y Sur (CURZAS), Universidad Nacional del Comahue, ciudad de Viedma, Río Negro.</w:t>
      </w:r>
    </w:p>
    <w:bookmarkEnd w:id="20"/>
    <w:bookmarkStart w:id="24" w:name="Xeb201754d94bbce47beccc43470bd16217c3db3"/>
    <w:p>
      <w:pPr>
        <w:pStyle w:val="Heading2"/>
        <w:keepNext/>
        <w:spacing w:before="200" w:after="80" w:line="300" w:lineRule="auto"/>
      </w:pPr>
      <w:r>
        <w:rPr>
          <w:rFonts w:ascii="Arial" w:hAnsi="Arial"/>
          <w:b/>
          <w:sz w:val="24"/>
        </w:rPr>
        <w:t xml:space="preserve">2.3 Operacionalización de las Dimensiones de Factibilidad</w:t>
      </w:r>
    </w:p>
    <w:bookmarkStart w:id="21" w:name="Xcdb87a96a95f00839381972ad43f2df4cfe9f8a"/>
    <w:p>
      <w:pPr>
        <w:pStyle w:val="Heading3"/>
        <w:keepNext/>
        <w:spacing w:before="160" w:after="40" w:line="300" w:lineRule="auto"/>
      </w:pPr>
      <w:r>
        <w:rPr>
          <w:rFonts w:ascii="Arial" w:hAnsi="Arial"/>
          <w:b/>
          <w:i/>
          <w:sz w:val="24"/>
        </w:rPr>
        <w:t xml:space="preserve">2.3.1 Definición Conceptual y Operativa de Factibilidad</w:t>
      </w:r>
    </w:p>
    <w:p>
      <w:pPr>
        <w:pStyle w:val="FirstParagraph"/>
      </w:pPr>
      <w:r>
        <w:t xml:space="preserve">En el marco de la gestión pública universitaria, la</w:t>
      </w:r>
      <w:r>
        <w:t xml:space="preserve"> </w:t>
      </w:r>
      <w:r>
        <w:rPr>
          <w:b/>
          <w:bCs/>
        </w:rPr>
        <w:t xml:space="preserve">factibilidad</w:t>
      </w:r>
      <w:r>
        <w:t xml:space="preserve"> </w:t>
      </w:r>
      <w:r>
        <w:t xml:space="preserve">en esta investigación no se concibe como una viabilidad técnica abstracta ni como una imposición gerencial vertical. Se define operativamente como la</w:t>
      </w:r>
      <w:r>
        <w:t xml:space="preserve"> </w:t>
      </w:r>
      <w:r>
        <w:rPr>
          <w:b/>
          <w:bCs/>
        </w:rPr>
        <w:t xml:space="preserve">convergencia de condiciones normativas, organizacionales, técnicas y de legitimidad institucional que permitan implementar un modelo de retroalimentación 360° con sentido formativo y sin vulnerar derechos laborales adquiridos</w:t>
      </w:r>
      <w:r>
        <w:t xml:space="preserve">.</w:t>
      </w:r>
    </w:p>
    <w:p>
      <w:pPr>
        <w:pStyle w:val="BodyText"/>
      </w:pPr>
      <w:r>
        <w:t xml:space="preserve">En términos prácticos, determinar si el modelo es factible en el Departamento de Administración Pública del CURZAS exige responder a cinco interrogantes centrales, correspondientes punto por punto con sus dimensiones analíticas:</w:t>
      </w:r>
      <w:r>
        <w:t xml:space="preserve"> </w:t>
      </w:r>
      <w:r>
        <w:t xml:space="preserve">1.</w:t>
      </w:r>
      <w:r>
        <w:t xml:space="preserve"> </w:t>
      </w:r>
      <w:r>
        <w:rPr>
          <w:b/>
          <w:bCs/>
        </w:rPr>
        <w:t xml:space="preserve">Factibilidad Normativa y Estatutaria:</w:t>
      </w:r>
      <w:r>
        <w:t xml:space="preserve"> </w:t>
      </w:r>
      <w:r>
        <w:t xml:space="preserve">¿Puede aplicarse con fines formativos sin colisionar con la estabilidad laboral regulada por el Estatuto UNCo (Ord. N° 0988/2025), la Carrera Docente (Ord. N° 0920/2019 y modificatorias) y el CCT Docente (Decreto N° 1246/2015)?</w:t>
      </w:r>
      <w:r>
        <w:t xml:space="preserve"> </w:t>
      </w:r>
      <w:r>
        <w:t xml:space="preserve">2.</w:t>
      </w:r>
      <w:r>
        <w:t xml:space="preserve"> </w:t>
      </w:r>
      <w:r>
        <w:rPr>
          <w:b/>
          <w:bCs/>
        </w:rPr>
        <w:t xml:space="preserve">Factibilidad Técnica e Instrumental:</w:t>
      </w:r>
      <w:r>
        <w:t xml:space="preserve"> </w:t>
      </w:r>
      <w:r>
        <w:t xml:space="preserve">¿Existen plataformas informáticas (SIU-Guaraní, campus virtual) e instrumentos pedagógicamente válidos capaces de resguardar el anonimato?</w:t>
      </w:r>
      <w:r>
        <w:t xml:space="preserve"> </w:t>
      </w:r>
      <w:r>
        <w:t xml:space="preserve">3.</w:t>
      </w:r>
      <w:r>
        <w:t xml:space="preserve"> </w:t>
      </w:r>
      <w:r>
        <w:rPr>
          <w:b/>
          <w:bCs/>
        </w:rPr>
        <w:t xml:space="preserve">Factibilidad Organizacional y Procedimental:</w:t>
      </w:r>
      <w:r>
        <w:t xml:space="preserve"> </w:t>
      </w:r>
      <w:r>
        <w:t xml:space="preserve">¿Cuenta el departamento con circuitos administrativos, roles institucionales y tiempos de gestión idóneos para procesar devoluciones oportunas?</w:t>
      </w:r>
      <w:r>
        <w:t xml:space="preserve"> </w:t>
      </w:r>
      <w:r>
        <w:t xml:space="preserve">4.</w:t>
      </w:r>
      <w:r>
        <w:t xml:space="preserve"> </w:t>
      </w:r>
      <w:r>
        <w:rPr>
          <w:b/>
          <w:bCs/>
        </w:rPr>
        <w:t xml:space="preserve">Factibilidad Cultural y Actitudinal:</w:t>
      </w:r>
      <w:r>
        <w:t xml:space="preserve"> </w:t>
      </w:r>
      <w:r>
        <w:t xml:space="preserve">¿Existe disposición favorable en los claustros involucrados (docentes y estudiantes) y en las autoridades departamentales para participar en una evaluación multiactoral, atenuando prevenciones frente al control jerárquico?</w:t>
      </w:r>
      <w:r>
        <w:t xml:space="preserve"> </w:t>
      </w:r>
      <w:r>
        <w:t xml:space="preserve">5.</w:t>
      </w:r>
      <w:r>
        <w:t xml:space="preserve"> </w:t>
      </w:r>
      <w:r>
        <w:rPr>
          <w:b/>
          <w:bCs/>
        </w:rPr>
        <w:t xml:space="preserve">Factibilidad de Gobernanza y Política Institucional:</w:t>
      </w:r>
      <w:r>
        <w:t xml:space="preserve"> </w:t>
      </w:r>
      <w:r>
        <w:t xml:space="preserve">¿Cuenta la propuesta con viabilidad política para ser tratada y consensuada en los órganos colegiados y mesas paritarias sobre variables de control compartido</w:t>
      </w:r>
      <w:r>
        <w:t xml:space="preserve"> </w:t>
      </w:r>
      <w:r>
        <w:t xml:space="preserve">(Longo, 2004; Matus, 1993)</w:t>
      </w:r>
      <w:r>
        <w:t xml:space="preserve">?</w:t>
      </w:r>
    </w:p>
    <w:bookmarkEnd w:id="21"/>
    <w:bookmarkStart w:id="22" w:name="X5965ca74dc7a4b9398fc285497af16a05ed033f"/>
    <w:p>
      <w:pPr>
        <w:pStyle w:val="Heading3"/>
        <w:keepNext/>
        <w:spacing w:before="160" w:after="40" w:line="300" w:lineRule="auto"/>
      </w:pPr>
      <w:r>
        <w:rPr>
          <w:rFonts w:ascii="Arial" w:hAnsi="Arial"/>
          <w:b/>
          <w:i/>
          <w:sz w:val="24"/>
        </w:rPr>
        <w:t xml:space="preserve">2.3.2 Dimensiones de Observación y Fuentes Empíricas</w:t>
      </w:r>
    </w:p>
    <w:p>
      <w:pPr>
        <w:pStyle w:val="FirstParagraph"/>
      </w:pPr>
      <w:r>
        <w:t xml:space="preserve">Para contrastar estos aspectos en el trabajo de campo, la investigación desagrega la factibilidad en cinco dimensiones observables alineadas con los interrogantes planteados: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N° 0988/2025), la Carrera Docente (Ord. N° 0920/2019 y modificatorias) y el CCT Docente (Decreto N° 1246/2015)</w:t>
            </w:r>
          </w:p>
        </w:tc>
        <w:tc>
          <w:tcPr/>
          <w:p>
            <w:pPr>
              <w:pStyle w:val="Compact"/>
              <w:jc w:val="left"/>
            </w:pPr>
            <w:r>
              <w:t xml:space="preserve">Análisis documental normativo; ausencia de colisión con la estabilidad laboral y derechos adquiridos</w:t>
            </w:r>
          </w:p>
        </w:tc>
      </w:tr>
      <w:tr>
        <w:tc>
          <w:tcPr/>
          <w:p>
            <w:pPr>
              <w:pStyle w:val="Compact"/>
              <w:jc w:val="left"/>
            </w:pPr>
            <w:r>
              <w:rPr>
                <w:b/>
                <w:bCs/>
              </w:rPr>
              <w:t xml:space="preserve">Técnica e Instrumental</w:t>
            </w:r>
          </w:p>
        </w:tc>
        <w:tc>
          <w:tcPr/>
          <w:p>
            <w:pPr>
              <w:pStyle w:val="Compact"/>
              <w:jc w:val="left"/>
            </w:pPr>
            <w:r>
              <w:t xml:space="preserve">Disponibilidad de plataformas digitales, recursos informáticos y validez metodológica de instrumentos de consulta</w:t>
            </w:r>
          </w:p>
        </w:tc>
        <w:tc>
          <w:tcPr/>
          <w:p>
            <w:pPr>
              <w:pStyle w:val="Compact"/>
              <w:jc w:val="left"/>
            </w:pPr>
            <w:r>
              <w:t xml:space="preserve">Relevamiento de entornos virtuales (SIU-Guaraní, campus virtual); confiabilidad técnica y anonimato</w:t>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y tiempos de gestión administrativa</w:t>
            </w:r>
          </w:p>
        </w:tc>
        <w:tc>
          <w:tcPr/>
          <w:p>
            <w:pPr>
              <w:pStyle w:val="Compact"/>
              <w:jc w:val="left"/>
            </w:pPr>
            <w:r>
              <w:t xml:space="preserve">Procedimientos administrativos instituidos; capacidad organizacional de canalizar la retroalimentación formativa</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y disposición de claustros y autoridades ante la coevaluación</w:t>
            </w:r>
          </w:p>
        </w:tc>
        <w:tc>
          <w:tcPr/>
          <w:p>
            <w:pPr>
              <w:pStyle w:val="Compact"/>
              <w:jc w:val="left"/>
            </w:pPr>
            <w:r>
              <w:t xml:space="preserve">Cuestionarios y entrevistas; percepción de utilidad pedagógica y superación de tensiones frente al control auditador</w:t>
            </w:r>
          </w:p>
        </w:tc>
      </w:tr>
      <w:tr>
        <w:tc>
          <w:tcPr/>
          <w:p>
            <w:pPr>
              <w:pStyle w:val="Compact"/>
              <w:jc w:val="left"/>
            </w:pPr>
            <w:r>
              <w:rPr>
                <w:b/>
                <w:bCs/>
              </w:rPr>
              <w:t xml:space="preserve">Gobernanza y Política Institucional</w:t>
            </w:r>
          </w:p>
        </w:tc>
        <w:tc>
          <w:tcPr/>
          <w:p>
            <w:pPr>
              <w:pStyle w:val="Compact"/>
              <w:jc w:val="left"/>
            </w:pPr>
            <w:r>
              <w:t xml:space="preserve">Participación y legitimación en el cogobierno (Consejo Superior y Consejo Directivo) y mesas paritarias docentes</w:t>
            </w:r>
          </w:p>
        </w:tc>
        <w:tc>
          <w:tcPr/>
          <w:p>
            <w:pPr>
              <w:pStyle w:val="Compact"/>
              <w:jc w:val="left"/>
            </w:pPr>
            <w:r>
              <w:t xml:space="preserve">Acuerdos colegiados; consulta a representaciones gremiales y departamentales sobre variables de control compartido</w:t>
            </w:r>
          </w:p>
        </w:tc>
      </w:tr>
    </w:tbl>
    <w:bookmarkEnd w:id="22"/>
    <w:bookmarkStart w:id="23" w:name="X8f4da2a33d80423d494a47dd434126cfe1b5efc"/>
    <w:p>
      <w:pPr>
        <w:pStyle w:val="Heading3"/>
        <w:keepNext/>
        <w:spacing w:before="160" w:after="40" w:line="300" w:lineRule="auto"/>
      </w:pPr>
      <w:r>
        <w:rPr>
          <w:rFonts w:ascii="Arial" w:hAnsi="Arial"/>
          <w:b/>
          <w:i/>
          <w:sz w:val="24"/>
        </w:rPr>
        <w:t xml:space="preserve">2.3.3 Criterios Cualitativos para la Interpretación de Resultados</w:t>
      </w:r>
    </w:p>
    <w:p>
      <w:pPr>
        <w:pStyle w:val="FirstParagraph"/>
      </w:pPr>
      <w:r>
        <w:t xml:space="preserve">La síntesis analítica y la asignación a la categoría global de factibilidad responden a una regla de integración sistemática basada en la articulación de las cinco dimensiones:</w:t>
      </w:r>
    </w:p>
    <w:p>
      <w:pPr>
        <w:pStyle w:val="Compact"/>
        <w:numPr>
          <w:ilvl w:val="0"/>
          <w:numId w:val="1003"/>
        </w:numPr>
      </w:pPr>
      <w:r>
        <w:rPr>
          <w:b/>
          <w:bCs/>
        </w:rPr>
        <w:t xml:space="preserve">Factibilidad Alta (Favorable):</w:t>
      </w:r>
      <w:r>
        <w:t xml:space="preserve"> </w:t>
      </w:r>
      <w:r>
        <w:t xml:space="preserve">Se determina únicamente cuando se verifica una evaluación favorable y convergente en las cinco dimensiones: compatibilidad normativa plena con el Estatuto UNCo (Ord. N° 0988/2025), soporte tecnológico garantizado, capacidad procedimental instalada, disposición favorable de los claustros involucrados (docentes y estudiantes) junto a las autoridades departamentales, y viabilidad de tratamiento colegiado en el cogobierno.</w:t>
      </w:r>
    </w:p>
    <w:p>
      <w:pPr>
        <w:pStyle w:val="Compact"/>
        <w:numPr>
          <w:ilvl w:val="0"/>
          <w:numId w:val="1003"/>
        </w:numPr>
      </w:pPr>
      <w:r>
        <w:rPr>
          <w:b/>
          <w:bCs/>
        </w:rPr>
        <w:t xml:space="preserve">Factibilidad Condicionada (Viable con adecuaciones de gestión):</w:t>
      </w:r>
      <w:r>
        <w:t xml:space="preserve"> </w:t>
      </w:r>
      <w:r>
        <w:t xml:space="preserve">Se determina cuando no existen barreras jurídicas insuperables ni rechazo institucional de fondo, pero una o más dimensiones requieren gestión previa: acuerdos paritarios sobre confidencialidad, adecuación de plataformas digitales, talleres de sensibilización, aprobación de órganos colegiados o implementación mediante pruebas piloto graduadas</w:t>
      </w:r>
      <w:r>
        <w:t xml:space="preserve"> </w:t>
      </w:r>
      <w:r>
        <w:t xml:space="preserve">(Sifuentes Ocegueda et al., 2016)</w:t>
      </w:r>
      <w:r>
        <w:t xml:space="preserve">. En todos los casos se registrará el nivel de decisión requerido (Departamento, Consejo Directivo del CURZAS o Consejo Superior); cuando la implementación exija una modificación reglamentaria expresa del Consejo Superior, esa condición se consignará de forma explícita.</w:t>
      </w:r>
    </w:p>
    <w:p>
      <w:pPr>
        <w:pStyle w:val="Compact"/>
        <w:numPr>
          <w:ilvl w:val="0"/>
          <w:numId w:val="1003"/>
        </w:numPr>
      </w:pPr>
      <w:r>
        <w:rPr>
          <w:b/>
          <w:bCs/>
        </w:rPr>
        <w:t xml:space="preserve">Factibilidad Baja (Desfavorable / Inviable):</w:t>
      </w:r>
      <w:r>
        <w:t xml:space="preserve"> </w:t>
      </w:r>
      <w:r>
        <w:t xml:space="preserve">Se determina ante la presencia de al menos un obstáculo estructural no superable en el mediano plazo, tal como la colisión insalvable con el régimen estatutario de carrera docente, la desconfianza generalizada de los claustros o autoridades frente al uso punitivo de los datos o la imposibilidad técnica absoluta de garantizar el anonimato.</w:t>
      </w:r>
    </w:p>
    <w:bookmarkEnd w:id="23"/>
    <w:bookmarkEnd w:id="24"/>
    <w:bookmarkStart w:id="25" w:name="pregunta-general-de-investigación"/>
    <w:p>
      <w:pPr>
        <w:pStyle w:val="Heading2"/>
        <w:keepNext/>
        <w:spacing w:before="200" w:after="80" w:line="300" w:lineRule="auto"/>
      </w:pPr>
      <w:r>
        <w:rPr>
          <w:rFonts w:ascii="Arial" w:hAnsi="Arial"/>
          <w:b/>
          <w:sz w:val="24"/>
        </w:rPr>
        <w:t xml:space="preserve">2.4 Pregunta General de Investigación</w:t>
      </w:r>
    </w:p>
    <w:p>
      <w:pPr>
        <w:pStyle w:val="FirstParagraph"/>
      </w:pPr>
      <w:r>
        <w:t xml:space="preserve">A partir de las precisiones metodológicas señaladas, se formula el interrogante central de la investigación:</w:t>
      </w:r>
    </w:p>
    <w:p>
      <w:pPr>
        <w:pStyle w:val="BlockText"/>
      </w:pPr>
      <w:r>
        <w:rPr>
          <w:b/>
          <w:bCs/>
        </w:rPr>
        <w:t xml:space="preserve">¿De qué manera se estructuran los mecanismos de evaluación del desempeño docente y qué factibilidad presenta la implementación de un modelo de retroalimentación 360° en el Departamento de Administración Pública del CURZAS-UNCo (2025–2026)?</w:t>
      </w:r>
    </w:p>
    <w:bookmarkEnd w:id="25"/>
    <w:bookmarkEnd w:id="26"/>
    <w:bookmarkStart w:id="30" w:name="X681cec084bc0b6c304e32f87344fd4265dfa7e1"/>
    <w:p>
      <w:pPr>
        <w:pStyle w:val="Heading1"/>
        <w:keepNext/>
        <w:spacing w:before="240" w:after="120" w:line="300" w:lineRule="auto"/>
      </w:pPr>
      <w:r>
        <w:rPr>
          <w:rFonts w:ascii="Arial" w:hAnsi="Arial"/>
          <w:b/>
          <w:sz w:val="28"/>
        </w:rPr>
        <w:t xml:space="preserve">3. Justificación y Relevancia de la Investigación</w:t>
      </w:r>
    </w:p>
    <w:p>
      <w:pPr>
        <w:pStyle w:val="FirstParagraph"/>
      </w:pPr>
      <w:r>
        <w:t xml:space="preserve">A continuación, se explicita la pertinencia del estudio desde tres planos convergentes, en estricta consonancia con los criterios formales del Reglamento de TFG de la universidad:</w:t>
      </w:r>
    </w:p>
    <w:bookmarkStart w:id="27" w:name="plano-cognitivo-y-disciplinar"/>
    <w:p>
      <w:pPr>
        <w:pStyle w:val="Heading2"/>
        <w:keepNext/>
        <w:spacing w:before="200" w:after="80" w:line="300" w:lineRule="auto"/>
      </w:pPr>
      <w:r>
        <w:rPr>
          <w:rFonts w:ascii="Arial" w:hAnsi="Arial"/>
          <w:b/>
          <w:sz w:val="24"/>
        </w:rPr>
        <w:t xml:space="preserve">3.1 Plano Cognitivo y Disciplinar</w:t>
      </w:r>
    </w:p>
    <w:p>
      <w:pPr>
        <w:pStyle w:val="FirstParagraph"/>
      </w:pPr>
      <w:r>
        <w:t xml:space="preserve">En el plano teórico, el trabajo busca aportar al campo de la Administración Pública y la Gestión de Recursos Humanos en el sector estatal, dialogando con los enfoques sobre modernización y capacidades institucionales</w:t>
      </w:r>
      <w:r>
        <w:t xml:space="preserve"> </w:t>
      </w:r>
      <w:r>
        <w:t xml:space="preserve">(Oszlak, 2020)</w:t>
      </w:r>
      <w:r>
        <w:t xml:space="preserve">. La implementación de modelos de retroalimentación 360° en universidades públicas argentinas —con estructuras de cogobierno, autonomía y regímenes paritarios específicos— representa un área de vacancia que amerita ser investigada de forma situada.</w:t>
      </w:r>
    </w:p>
    <w:p>
      <w:pPr>
        <w:pStyle w:val="BodyText"/>
      </w:pPr>
      <w:r>
        <w:t xml:space="preserve">Asimismo, la investigación operacionaliza el Subsistema de Gestión del Rendimiento de</w:t>
      </w:r>
      <w:r>
        <w:t xml:space="preserve"> </w:t>
      </w:r>
      <w:r>
        <w:t xml:space="preserve">Longo (2004)</w:t>
      </w:r>
      <w:r>
        <w:t xml:space="preserve"> </w:t>
      </w:r>
      <w:r>
        <w:t xml:space="preserve">en una universidad patagónica. Se examina en qué condiciones la evaluación docente puede orientarse al aprendizaje continuo, generando evidencia empírica sobre la articulación entre gobernanza colegiada y dispositivos de retroalimentación en organizaciones públicas complejas.</w:t>
      </w:r>
    </w:p>
    <w:bookmarkEnd w:id="27"/>
    <w:bookmarkStart w:id="28" w:name="plano-social-e-institucional"/>
    <w:p>
      <w:pPr>
        <w:pStyle w:val="Heading2"/>
        <w:keepNext/>
        <w:spacing w:before="200" w:after="80" w:line="300" w:lineRule="auto"/>
      </w:pPr>
      <w:r>
        <w:rPr>
          <w:rFonts w:ascii="Arial" w:hAnsi="Arial"/>
          <w:b/>
          <w:sz w:val="24"/>
        </w:rPr>
        <w:t xml:space="preserve">3.2 Plano Social e Institucional</w:t>
      </w:r>
    </w:p>
    <w:p>
      <w:pPr>
        <w:pStyle w:val="FirstParagraph"/>
      </w:pPr>
      <w:r>
        <w:t xml:space="preserve">A nivel social e institucional, el trabajo ofrece un valor concreto al CURZAS y a la UNCo al producir un diagnóstico riguroso sobre la viabilidad de renovar las prácticas evaluativas. En caso de constatarse su factibilidad, la retroalimentación multiactoral podría fortalecer la cultura de mejora continua y transparencia en la educación superior pública.</w:t>
      </w:r>
    </w:p>
    <w:p>
      <w:pPr>
        <w:pStyle w:val="BodyText"/>
      </w:pPr>
      <w:r>
        <w:t xml:space="preserve">Asimismo, la investigación considera las expectativas y percepciones de los distintos claustros:</w:t>
      </w:r>
    </w:p>
    <w:p>
      <w:pPr>
        <w:pStyle w:val="Compact"/>
        <w:numPr>
          <w:ilvl w:val="0"/>
          <w:numId w:val="1004"/>
        </w:numPr>
      </w:pPr>
      <w:r>
        <w:rPr>
          <w:b/>
          <w:bCs/>
        </w:rPr>
        <w:t xml:space="preserve">Cuerpo docente:</w:t>
      </w:r>
      <w:r>
        <w:t xml:space="preserve"> </w:t>
      </w:r>
      <w:r>
        <w:t xml:space="preserve">Permite conocer si la autoevaluación y el intercambio reflexivo entre pares son valorados como un apoyo formativo para la Carrera Docente (Ord. N° 0920/2019 y modificatorias; CCT Docente, Decreto N° 1246/2015), o si generan reparos frente a sobrecargas de tareas o al uso de la información.</w:t>
      </w:r>
    </w:p>
    <w:p>
      <w:pPr>
        <w:pStyle w:val="Compact"/>
        <w:numPr>
          <w:ilvl w:val="0"/>
          <w:numId w:val="1004"/>
        </w:numPr>
      </w:pPr>
      <w:r>
        <w:rPr>
          <w:b/>
          <w:bCs/>
        </w:rPr>
        <w:t xml:space="preserve">Claustro estudiantil:</w:t>
      </w:r>
      <w:r>
        <w:t xml:space="preserve"> </w:t>
      </w:r>
      <w:r>
        <w:t xml:space="preserve">Indaga la disposición de los estudiantes para que su opinión trascienda la encuesta administrativa de cierre lectivo y se convierta en un insumo constructivo para mejorar la enseñanza.</w:t>
      </w:r>
    </w:p>
    <w:p>
      <w:pPr>
        <w:pStyle w:val="Compact"/>
        <w:numPr>
          <w:ilvl w:val="0"/>
          <w:numId w:val="1004"/>
        </w:numPr>
      </w:pPr>
      <w:r>
        <w:rPr>
          <w:b/>
          <w:bCs/>
        </w:rPr>
        <w:t xml:space="preserve">Autoridades departamentales:</w:t>
      </w:r>
      <w:r>
        <w:t xml:space="preserve"> </w:t>
      </w:r>
      <w:r>
        <w:t xml:space="preserve">Posibilita diagnosticar las capacidades técnicas y de gestión necesarias para procesar juicios evaluativos múltiples e integrarlos a la planificación académica y a los planes de capacitación.</w:t>
      </w:r>
    </w:p>
    <w:bookmarkEnd w:id="28"/>
    <w:bookmarkStart w:id="29" w:name="plano-personal-y-profesional"/>
    <w:p>
      <w:pPr>
        <w:pStyle w:val="Heading2"/>
        <w:keepNext/>
        <w:spacing w:before="200" w:after="80" w:line="300" w:lineRule="auto"/>
      </w:pPr>
      <w:r>
        <w:rPr>
          <w:rFonts w:ascii="Arial" w:hAnsi="Arial"/>
          <w:b/>
          <w:sz w:val="24"/>
        </w:rPr>
        <w:t xml:space="preserve">3.3 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1"/>
        <w:keepNext/>
        <w:spacing w:before="240" w:after="120" w:line="300" w:lineRule="auto"/>
      </w:pPr>
      <w:r>
        <w:rPr>
          <w:rFonts w:ascii="Arial" w:hAnsi="Arial"/>
          <w:b/>
          <w:sz w:val="28"/>
        </w:rPr>
        <w:t xml:space="preserve">4. Definición de Objetivos del TFG</w:t>
      </w:r>
    </w:p>
    <w:p>
      <w:pPr>
        <w:pStyle w:val="FirstParagraph"/>
      </w:pPr>
      <w:r>
        <w:t xml:space="preserve">En este apartado se formulan las metas analíticas del proyecto en congruencia directa con la pregunta general de investigación y las dimensiones metodológicas planteadas:</w:t>
      </w:r>
    </w:p>
    <w:bookmarkStart w:id="31" w:name="objetivo-general"/>
    <w:p>
      <w:pPr>
        <w:pStyle w:val="Heading2"/>
        <w:keepNext/>
        <w:spacing w:before="200" w:after="80" w:line="300" w:lineRule="auto"/>
      </w:pPr>
      <w:r>
        <w:rPr>
          <w:rFonts w:ascii="Arial" w:hAnsi="Arial"/>
          <w:b/>
          <w:sz w:val="24"/>
        </w:rPr>
        <w:t xml:space="preserve">4.1 Objetivo General</w:t>
      </w:r>
    </w:p>
    <w:p>
      <w:pPr>
        <w:pStyle w:val="Compact"/>
        <w:numPr>
          <w:ilvl w:val="0"/>
          <w:numId w:val="1005"/>
        </w:numPr>
      </w:pPr>
      <w:r>
        <w:rPr>
          <w:b/>
          <w:bCs/>
        </w:rPr>
        <w:t xml:space="preserve">Analizar</w:t>
      </w:r>
      <w:r>
        <w:t xml:space="preserve"> </w:t>
      </w:r>
      <w:r>
        <w:t xml:space="preserve">los mecanismos de estructuración de la evaluación del desempeño docente y determinar las condiciones de factibilidad organizacional, técnica, normativa y de gobernanza para la eventual implementación de un modelo de retroalimentación multiactoral (360°) en el Departamento de Administración Pública del CURZAS-UNCo (2025–2026).</w:t>
      </w:r>
    </w:p>
    <w:bookmarkEnd w:id="31"/>
    <w:bookmarkStart w:id="32" w:name="objetivos-específicos"/>
    <w:p>
      <w:pPr>
        <w:pStyle w:val="Heading2"/>
        <w:keepNext/>
        <w:spacing w:before="200" w:after="80" w:line="300" w:lineRule="auto"/>
      </w:pPr>
      <w:r>
        <w:rPr>
          <w:rFonts w:ascii="Arial" w:hAnsi="Arial"/>
          <w:b/>
          <w:sz w:val="24"/>
        </w:rPr>
        <w:t xml:space="preserve">4.2 Objetivos Específicos</w:t>
      </w:r>
    </w:p>
    <w:p>
      <w:pPr>
        <w:pStyle w:val="Compact"/>
        <w:numPr>
          <w:ilvl w:val="0"/>
          <w:numId w:val="1006"/>
        </w:numPr>
      </w:pPr>
      <w:r>
        <w:rPr>
          <w:b/>
          <w:bCs/>
        </w:rPr>
        <w:t xml:space="preserve">Relevar y caracterizar</w:t>
      </w:r>
      <w:r>
        <w:t xml:space="preserve"> </w:t>
      </w:r>
      <w:r>
        <w:t xml:space="preserve">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6"/>
        </w:numPr>
      </w:pPr>
      <w:r>
        <w:rPr>
          <w:b/>
          <w:bCs/>
        </w:rPr>
        <w:t xml:space="preserve">Explorar las percepciones, disposiciones y expectativas</w:t>
      </w:r>
      <w:r>
        <w:t xml:space="preserve"> </w:t>
      </w:r>
      <w:r>
        <w:t xml:space="preserve">de los distintos claustros involucrados (docentes y estudiantes) y de las autoridades departamentales respecto a la retroalimentación multiactoral (360°) y las condiciones de confianza institucional requeridas.</w:t>
      </w:r>
    </w:p>
    <w:p>
      <w:pPr>
        <w:pStyle w:val="Compact"/>
        <w:numPr>
          <w:ilvl w:val="0"/>
          <w:numId w:val="1006"/>
        </w:numPr>
      </w:pPr>
      <w:r>
        <w:rPr>
          <w:b/>
          <w:bCs/>
        </w:rPr>
        <w:t xml:space="preserve">Identificar los condicionantes técnico-organizacionales, normativos y de gobernanza</w:t>
      </w:r>
      <w:r>
        <w:t xml:space="preserve"> </w:t>
      </w:r>
      <w:r>
        <w:t xml:space="preserve">(acuerdos paritarios, normativa vigente de carrera docente y evaluación, confidencialidad y cogobierno) que inciden en la factibilidad del modelo.</w:t>
      </w:r>
    </w:p>
    <w:p>
      <w:pPr>
        <w:pStyle w:val="Compact"/>
        <w:numPr>
          <w:ilvl w:val="0"/>
          <w:numId w:val="1006"/>
        </w:numPr>
      </w:pPr>
      <w:r>
        <w:rPr>
          <w:b/>
          <w:bCs/>
        </w:rPr>
        <w:t xml:space="preserve">Proponer lineamientos orientativos</w:t>
      </w:r>
      <w:r>
        <w:t xml:space="preserve"> </w:t>
      </w:r>
      <w:r>
        <w:t xml:space="preserve">para una eventual implementación de un modelo de retroalimentación multiactoral (360°), en función de las condiciones y límites de factibilidad identificados en la investigación empírica.</w:t>
      </w:r>
    </w:p>
    <w:bookmarkEnd w:id="32"/>
    <w:bookmarkStart w:id="33" w:name="X3e337276daa19207d7cf7464738fde0007e6794"/>
    <w:p>
      <w:pPr>
        <w:pStyle w:val="Heading2"/>
        <w:keepNext/>
        <w:spacing w:before="200" w:after="80" w:line="300" w:lineRule="auto"/>
      </w:pPr>
      <w:r>
        <w:rPr>
          <w:rFonts w:ascii="Arial" w:hAnsi="Arial"/>
          <w:b/>
          <w:sz w:val="24"/>
        </w:rPr>
        <w:t xml:space="preserve">4.3 Matriz de Consistencia Metodológica y Articulación con Longo (2004)</w:t>
      </w:r>
    </w:p>
    <w:p>
      <w:pPr>
        <w:pStyle w:val="FirstParagraph"/>
      </w:pPr>
      <w:r>
        <w:t xml:space="preserve">Para dotar de consistencia analítica a la investigación, cada subsistema del modelo de</w:t>
      </w:r>
      <w:r>
        <w:t xml:space="preserve"> </w:t>
      </w:r>
      <w:r>
        <w:t xml:space="preserve">Longo (2004)</w:t>
      </w:r>
      <w:r>
        <w:t xml:space="preserve"> </w:t>
      </w:r>
      <w:r>
        <w:t xml:space="preserve">aporta una clave interpretativa específica al problema planteado:</w:t>
      </w:r>
    </w:p>
    <w:p>
      <w:pPr>
        <w:pStyle w:val="Compact"/>
        <w:numPr>
          <w:ilvl w:val="0"/>
          <w:numId w:val="1007"/>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7"/>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7"/>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7"/>
        </w:numPr>
      </w:pP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2004)</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Análisis multidimensional de mecanismos actuales y viabilidad de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N° 0988/2025),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w:t>
            </w:r>
            <w:r>
              <w:t xml:space="preserve"> </w:t>
            </w:r>
            <w:r>
              <w:t xml:space="preserve">Identificación de condicionantes paritarios, normativos,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normativa vigente de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r>
        <w:br w:type="page"/>
      </w:r>
    </w:p>
    <w:bookmarkEnd w:id="33"/>
    <w:bookmarkEnd w:id="34"/>
    <w:bookmarkStart w:id="51" w:name="referencias"/>
    <w:p>
      <w:pPr>
        <w:pStyle w:val="Heading1"/>
        <w:keepNext/>
        <w:spacing w:before="240" w:after="120" w:line="300" w:lineRule="auto"/>
        <w:jc w:val="center"/>
      </w:pPr>
      <w:r>
        <w:rPr>
          <w:rFonts w:ascii="Arial" w:hAnsi="Arial"/>
          <w:b/>
          <w:sz w:val="28"/>
        </w:rPr>
        <w:t xml:space="preserve">Referencias</w:t>
      </w:r>
    </w:p>
    <w:bookmarkStart w:id="50" w:name="refs"/>
    <w:bookmarkStart w:id="35"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35"/>
    <w:bookmarkStart w:id="36" w:name="ref-pen2015"/>
    <w:p>
      <w:pPr>
        <w:pStyle w:val="Bibliography"/>
        <w:spacing w:after="120"/>
        <w:ind w:left="720" w:hanging="720"/>
        <w:jc w:val="left"/>
      </w:pPr>
      <w:r>
        <w:t xml:space="preserve">Decreto N° 1246/2015. Convenio Colectivo de Trabajo para los Docentes de las Instituciones Universitarias Nacionales (2015).</w:t>
      </w:r>
    </w:p>
    <w:bookmarkEnd w:id="36"/>
    <w:bookmarkStart w:id="37" w:name="ref-ministerio1995"/>
    <w:p>
      <w:pPr>
        <w:pStyle w:val="Bibliography"/>
        <w:spacing w:after="120"/>
        <w:ind w:left="720" w:hanging="720"/>
        <w:jc w:val="left"/>
      </w:pPr>
      <w:r>
        <w:t xml:space="preserve">Ley N° 24.521 de Educación Superior (1995).</w:t>
      </w:r>
    </w:p>
    <w:bookmarkEnd w:id="37"/>
    <w:bookmarkStart w:id="38" w:name="ref-longo2004"/>
    <w:p>
      <w:pPr>
        <w:pStyle w:val="Bibliography"/>
        <w:spacing w:after="120"/>
        <w:ind w:left="720" w:hanging="720"/>
        <w:jc w:val="left"/>
      </w:pPr>
      <w:r>
        <w:t xml:space="preserve">Longo, F. (2004).</w:t>
      </w:r>
      <w:r>
        <w:t xml:space="preserve"> </w:t>
      </w:r>
      <w:r>
        <w:rPr>
          <w:i/>
          <w:iCs/>
        </w:rPr>
        <w:t xml:space="preserve">Mérito y flexibilidad: La gestión de las personas en las organizaciones del sector público</w:t>
      </w:r>
      <w:r>
        <w:t xml:space="preserve">. Paidós.</w:t>
      </w:r>
    </w:p>
    <w:bookmarkEnd w:id="38"/>
    <w:bookmarkStart w:id="39"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39"/>
    <w:bookmarkStart w:id="41"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40">
        <w:r>
          <w:rPr>
            <w:rStyle w:val="Hyperlink"/>
          </w:rPr>
          <w:t xml:space="preserve">https://medisur.sld.cu/index.php/medisur/article/view/2749</w:t>
        </w:r>
      </w:hyperlink>
    </w:p>
    <w:bookmarkEnd w:id="41"/>
    <w:bookmarkStart w:id="42"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42"/>
    <w:bookmarkStart w:id="43"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43"/>
    <w:bookmarkStart w:id="45"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44">
        <w:r>
          <w:rPr>
            <w:rStyle w:val="Hyperlink"/>
          </w:rPr>
          <w:t xml:space="preserve">https://dialnet.unirioja.es/descarga/articulo/7242790.pdf</w:t>
        </w:r>
      </w:hyperlink>
    </w:p>
    <w:bookmarkEnd w:id="45"/>
    <w:bookmarkStart w:id="46" w:name="ref-unco2019"/>
    <w:p>
      <w:pPr>
        <w:pStyle w:val="Bibliography"/>
        <w:spacing w:after="120"/>
        <w:ind w:left="720" w:hanging="720"/>
        <w:jc w:val="left"/>
      </w:pPr>
      <w:r>
        <w:t xml:space="preserve">Universidad Nacional del Comahue. (2019).</w:t>
      </w:r>
      <w:r>
        <w:t xml:space="preserve"> </w:t>
      </w:r>
      <w:r>
        <w:rPr>
          <w:i/>
          <w:iCs/>
        </w:rPr>
        <w:t xml:space="preserve">Ordenanza N° 0920/2019: Reglamento de Carrera Docente</w:t>
      </w:r>
      <w:r>
        <w:t xml:space="preserve">.</w:t>
      </w:r>
    </w:p>
    <w:bookmarkEnd w:id="46"/>
    <w:bookmarkStart w:id="47" w:name="ref-unco2025"/>
    <w:p>
      <w:pPr>
        <w:pStyle w:val="Bibliography"/>
        <w:spacing w:after="120"/>
        <w:ind w:left="720" w:hanging="720"/>
        <w:jc w:val="left"/>
      </w:pPr>
      <w:r>
        <w:t xml:space="preserve">Universidad Nacional del Comahue. (2025).</w:t>
      </w:r>
      <w:r>
        <w:t xml:space="preserve"> </w:t>
      </w:r>
      <w:r>
        <w:rPr>
          <w:i/>
          <w:iCs/>
        </w:rPr>
        <w:t xml:space="preserve">Ordenanza N° 0988/2025: Texto ordenado del Estatuto de la Universidad Nacional del Comahue</w:t>
      </w:r>
      <w:r>
        <w:t xml:space="preserve">.</w:t>
      </w:r>
    </w:p>
    <w:bookmarkEnd w:id="47"/>
    <w:bookmarkStart w:id="48" w:name="ref-uncocurzas2023"/>
    <w:p>
      <w:pPr>
        <w:pStyle w:val="Bibliography"/>
        <w:spacing w:after="120"/>
        <w:ind w:left="720" w:hanging="720"/>
        <w:jc w:val="left"/>
      </w:pPr>
      <w:r>
        <w:t xml:space="preserve">Universidad Nacional del Comahue - CURZAS. (2023).</w:t>
      </w:r>
      <w:r>
        <w:t xml:space="preserve"> </w:t>
      </w:r>
      <w:r>
        <w:rPr>
          <w:i/>
          <w:iCs/>
        </w:rPr>
        <w:t xml:space="preserve">Resolución CD-CURZAS N° 266/2023: Reglamento de Trabajo Final de Graduación (TFG) para las carreras del Departamento de Administración Pública</w:t>
      </w:r>
      <w:r>
        <w:t xml:space="preserve">.</w:t>
      </w:r>
    </w:p>
    <w:bookmarkEnd w:id="48"/>
    <w:bookmarkStart w:id="49"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49"/>
    <w:bookmarkEnd w:id="50"/>
    <w:bookmarkEnd w:id="51"/>
    <w:sectPr>
      <w:footerReference w:type="default" r:id="rId11"/>
      <w:footnotePr>
        <w:numRestart w:val="eachSect"/>
      </w:footnotePr>
      <w:pgMar w:top="1417" w:bottom="1417" w:left="1417" w:right="1417"/>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44" Type="http://schemas.openxmlformats.org/officeDocument/2006/relationships/hyperlink" Target="https://dialnet.unirioja.es/descarga/articulo/7242790.pdf" TargetMode="External"/><Relationship Id="rId40" Type="http://schemas.openxmlformats.org/officeDocument/2006/relationships/hyperlink" Target="https://medisur.sld.cu/index.php/medisur/article/view/2749"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44" Type="http://schemas.openxmlformats.org/officeDocument/2006/relationships/hyperlink" Target="https://dialnet.unirioja.es/descarga/articulo/7242790.pdf" TargetMode="External"/><Relationship Id="rId40" Type="http://schemas.openxmlformats.org/officeDocument/2006/relationships/hyperlink" Target="https://medisur.sld.cu/index.php/medisur/article/view/2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2026-09-25T20:25:15Z</dcterms:created>
  <dcterms:modified xsi:type="dcterms:W3CDTF">2026-09-25T20:25:15Z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