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3</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7</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7</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7</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8</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8</w:t>
      </w:r>
    </w:p>
    <w:p>
      <w:pPr>
        <w:pStyle w:val="TOC3"/>
        <w:tabs>
          <w:tab w:val="right" w:leader="dot" w:pos="9026"/>
        </w:tabs>
        <w:ind w:left="560"/>
        <w:spacing w:after="60"/>
      </w:pPr>
      <w:r>
        <w:rPr>
          <w:rFonts w:ascii="Arial" w:hAnsi="Arial"/>
          <w:sz w:val="22"/>
        </w:rPr>
        <w:t>Objetivo General</w:t>
      </w:r>
      <w:r>
        <w:tab/>
      </w:r>
      <w:r>
        <w:rPr>
          <w:rFonts w:ascii="Arial" w:hAnsi="Arial"/>
          <w:sz w:val="22"/>
        </w:rPr>
        <w:t>8</w:t>
      </w:r>
    </w:p>
    <w:p>
      <w:pPr>
        <w:pStyle w:val="TOC3"/>
        <w:tabs>
          <w:tab w:val="right" w:leader="dot" w:pos="9026"/>
        </w:tabs>
        <w:ind w:left="560"/>
        <w:spacing w:after="60"/>
      </w:pPr>
      <w:r>
        <w:rPr>
          <w:rFonts w:ascii="Arial" w:hAnsi="Arial"/>
          <w:sz w:val="22"/>
        </w:rPr>
        <w:t>Objetivos Específicos</w:t>
      </w:r>
      <w:r>
        <w:tab/>
      </w:r>
      <w:r>
        <w:rPr>
          <w:rFonts w:ascii="Arial" w:hAnsi="Arial"/>
          <w:sz w:val="22"/>
        </w:rPr>
        <w:t>8</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9</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11</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11</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11</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12</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13</w:t>
      </w:r>
    </w:p>
    <w:p>
      <w:pPr>
        <w:pStyle w:val="TOC3"/>
        <w:tabs>
          <w:tab w:val="right" w:leader="dot" w:pos="9026"/>
        </w:tabs>
        <w:ind w:left="560"/>
        <w:spacing w:after="60"/>
      </w:pPr>
      <w:r>
        <w:rPr>
          <w:rFonts w:ascii="Arial" w:hAnsi="Arial"/>
          <w:sz w:val="22"/>
        </w:rPr>
        <w:t>Gobernanza Universitaria, Cogobierno y Negociación Paritaria Docente</w:t>
      </w:r>
      <w:r>
        <w:tab/>
      </w:r>
      <w:r>
        <w:rPr>
          <w:rFonts w:ascii="Arial" w:hAnsi="Arial"/>
          <w:sz w:val="22"/>
        </w:rPr>
        <w:t>14</w:t>
      </w:r>
    </w:p>
    <w:p>
      <w:pPr>
        <w:pStyle w:val="TOC3"/>
        <w:tabs>
          <w:tab w:val="right" w:leader="dot" w:pos="9026"/>
        </w:tabs>
        <w:ind w:left="840"/>
        <w:spacing w:after="60"/>
      </w:pPr>
      <w:r>
        <w:rPr>
          <w:rFonts w:ascii="Arial" w:hAnsi="Arial"/>
          <w:sz w:val="22"/>
        </w:rPr>
        <w:t>Precisión Categorial: "Claustro" como Categoría Normativa versus "Actores Institucionales" como Categoría Analítica</w:t>
      </w:r>
      <w:r>
        <w:tab/>
      </w:r>
      <w:r>
        <w:rPr>
          <w:rFonts w:ascii="Arial" w:hAnsi="Arial"/>
          <w:sz w:val="22"/>
        </w:rPr>
        <w:t>15</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16</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16</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17</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18</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19</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20</w:t>
      </w:r>
    </w:p>
    <w:p>
      <w:pPr>
        <w:pStyle w:val="TOC1"/>
        <w:tabs>
          <w:tab w:val="right" w:leader="dot" w:pos="9026"/>
        </w:tabs>
        <w:ind w:left="0"/>
        <w:spacing w:after="60"/>
      </w:pPr>
      <w:r>
        <w:rPr>
          <w:rFonts w:ascii="Arial" w:hAnsi="Arial"/>
          <w:sz w:val="22"/>
        </w:rPr>
        <w:t>Referencias Bibliográficas</w:t>
      </w:r>
      <w:r>
        <w:tab/>
      </w:r>
      <w:r>
        <w:rPr>
          <w:rFonts w:ascii="Arial" w:hAnsi="Arial"/>
          <w:sz w:val="22"/>
        </w:rPr>
        <w:t>21</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w:t>
      </w:r>
      <w:r>
        <w:t xml:space="preserve"> </w:t>
      </w:r>
      <w:r>
        <w:rPr>
          <w:i/>
          <w:iCs/>
        </w:rPr>
        <w:t xml:space="preserve">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0"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 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0"/>
    <w:bookmarkStart w:id="24"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1"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cuatro dimensiones analíticas interrelacionadas:</w:t>
      </w:r>
    </w:p>
    <w:p>
      <w:pPr>
        <w:pStyle w:val="Compact"/>
        <w:numPr>
          <w:ilvl w:val="0"/>
          <w:numId w:val="1003"/>
        </w:numPr>
      </w:pPr>
      <w:r>
        <w:rPr>
          <w:b/>
          <w:bCs/>
        </w:rPr>
        <w:t xml:space="preserve">Factibilidad Organizacional y Cultural:</w:t>
      </w:r>
      <w:r>
        <w:t xml:space="preserve"> </w:t>
      </w:r>
      <w:r>
        <w:t xml:space="preserve">Nivel de aceptación, confianza institucional y legitimidad percibida por parte de docentes, estudiantes y autoridades para participar en procesos de autoevaluación, coevaluación entre pares y retroalimentación multidireccional, sin temor a consecuencias punitivas</w:t>
      </w:r>
      <w:r>
        <w:t xml:space="preserve"> </w:t>
      </w:r>
      <w:r>
        <w:t xml:space="preserve">(Lepsinger &amp; Lucia, 2009; Longo, 2006)</w:t>
      </w:r>
      <w:r>
        <w:t xml:space="preserve">.</w:t>
      </w:r>
    </w:p>
    <w:p>
      <w:pPr>
        <w:pStyle w:val="Compact"/>
        <w:numPr>
          <w:ilvl w:val="0"/>
          <w:numId w:val="1003"/>
        </w:numPr>
      </w:pPr>
      <w:r>
        <w:rPr>
          <w:b/>
          <w:bCs/>
        </w:rPr>
        <w:t xml:space="preserve">Factibilidad Técnica y Operativa:</w:t>
      </w:r>
      <w:r>
        <w:t xml:space="preserve"> </w:t>
      </w:r>
      <w:r>
        <w:t xml:space="preserve">Existencia de capacidades de gestión, recursos tecnológicos (como las plataformas Moodle y SIU-Guaraní) y circuitos administrativos adecuados en el Departamento de Administración Pública para diseñar, aplicar, anonimizar y procesar los instrumentos de retroalimentación de manera ágil y confidencial</w:t>
      </w:r>
      <w:r>
        <w:t xml:space="preserve"> </w:t>
      </w:r>
      <w:r>
        <w:t xml:space="preserve">(Obando Freire et al., 2014)</w:t>
      </w:r>
      <w:r>
        <w:t xml:space="preserve">.</w:t>
      </w:r>
    </w:p>
    <w:p>
      <w:pPr>
        <w:pStyle w:val="Compact"/>
        <w:numPr>
          <w:ilvl w:val="0"/>
          <w:numId w:val="1003"/>
        </w:numPr>
      </w:pPr>
      <w:r>
        <w:rPr>
          <w:b/>
          <w:bCs/>
        </w:rPr>
        <w:t xml:space="preserve">Factibilidad Normativa y Estatutaria:</w:t>
      </w:r>
      <w:r>
        <w:t xml:space="preserve"> </w:t>
      </w:r>
      <w:r>
        <w:t xml:space="preserve">Grado de compatibilidad y armonización del circuito formativo 360° con la normativa universitaria vigente (Estatuto UNCo, Reglamento de Carrera Docente Ord. CS N° 0910/1997 y modificatorias, y Convenio Colectivo de Trabajo Docente Dec. N° 1246/2015), garantizando su carácter complementario e independiente de las evaluaciones sumativas de permanencia</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de Gobernanza y Diálogo Institucional:</w:t>
      </w:r>
      <w:r>
        <w:t xml:space="preserve"> </w:t>
      </w:r>
      <w:r>
        <w:t xml:space="preserve">Posibilidad de construir acuerdos en el seno del Consejo Departamental, instancias de cogobierno y representaciones gremiales docentes para consensuar criterios, resguardos de confidencialidad y el uso pedagógico de los resultados</w:t>
      </w:r>
      <w:r>
        <w:t xml:space="preserve"> </w:t>
      </w:r>
      <w:r>
        <w:t xml:space="preserve">(Matus, 1993)</w:t>
      </w:r>
      <w:r>
        <w:t xml:space="preserve">.</w:t>
      </w:r>
    </w:p>
    <w:bookmarkEnd w:id="21"/>
    <w:bookmarkStart w:id="22" w:name="X5965ca74dc7a4b9398fc285497af16a05ed033f"/>
    <w:p>
      <w:pPr>
        <w:pStyle w:val="Heading4"/>
      </w:pPr>
      <w:r>
        <w:t xml:space="preserve">Dimensiones de Observación y Fuentes Empíricas</w:t>
      </w:r>
    </w:p>
    <w:p>
      <w:pPr>
        <w:pStyle w:val="FirstParagraph"/>
      </w:pPr>
      <w:r>
        <w:t xml:space="preserve">Para contrastar estas dimensiones en el trabajo de campo, se definen indicadores cualitativos y fuentes de recolección específicas:</w:t>
      </w:r>
    </w:p>
    <w:p>
      <w:pPr>
        <w:pStyle w:val="Compact"/>
        <w:numPr>
          <w:ilvl w:val="0"/>
          <w:numId w:val="1004"/>
        </w:numPr>
      </w:pPr>
      <w:r>
        <w:rPr>
          <w:b/>
          <w:bCs/>
        </w:rPr>
        <w:t xml:space="preserve">Dimensión Organizacional y Cultural:</w:t>
      </w:r>
      <w:r>
        <w:t xml:space="preserve"> </w:t>
      </w:r>
      <w:r>
        <w:t xml:space="preserve">Se indagará mediante cuestionarios y entrevistas semiestructuradas a docentes y estudiantes. Los indicadores clave incluyen: disposición al diálogo reflexivo sobre la enseñanza, grado de confianza en el anonimato de las respuestas, temores expresados frente a la coevaluación y expectativas de mejora pedagógica.</w:t>
      </w:r>
    </w:p>
    <w:p>
      <w:pPr>
        <w:pStyle w:val="Compact"/>
        <w:numPr>
          <w:ilvl w:val="0"/>
          <w:numId w:val="1004"/>
        </w:numPr>
      </w:pPr>
      <w:r>
        <w:rPr>
          <w:b/>
          <w:bCs/>
        </w:rPr>
        <w:t xml:space="preserve">Dimensión Técnica y Operativa:</w:t>
      </w:r>
      <w:r>
        <w:t xml:space="preserve"> </w:t>
      </w:r>
      <w:r>
        <w:t xml:space="preserve">Se analizará a través de entrevistas a informantes clave del área académica y de soporte técnico del CURZAS, así como el relevamiento de plataformas informáticas disponibles. Los indicadores abarcan: facilidad de acceso, carga operativa requerida para responder y capacidad de generar reportes diagnósticos sintéticos.</w:t>
      </w:r>
    </w:p>
    <w:p>
      <w:pPr>
        <w:pStyle w:val="Compact"/>
        <w:numPr>
          <w:ilvl w:val="0"/>
          <w:numId w:val="1004"/>
        </w:numPr>
      </w:pPr>
      <w:r>
        <w:rPr>
          <w:b/>
          <w:bCs/>
        </w:rPr>
        <w:t xml:space="preserve">Dimensión Normativa y Estatutaria:</w:t>
      </w:r>
      <w:r>
        <w:t xml:space="preserve"> </w:t>
      </w:r>
      <w:r>
        <w:t xml:space="preserve">Se contrastará mediante análisis documental de las ordenanzas de carrera docente y resoluciones paritarias. Los indicadores analizan: margen normativo para incorporar instancias formativas, protección de datos personales y salvaguarda de derechos adquiridos.</w:t>
      </w:r>
    </w:p>
    <w:p>
      <w:pPr>
        <w:pStyle w:val="Compact"/>
        <w:numPr>
          <w:ilvl w:val="0"/>
          <w:numId w:val="1004"/>
        </w:numPr>
      </w:pPr>
      <w:r>
        <w:rPr>
          <w:b/>
          <w:bCs/>
        </w:rPr>
        <w:t xml:space="preserve">Dimensión de Gobernanza y Diálogo Institucional:</w:t>
      </w:r>
      <w:r>
        <w:t xml:space="preserve"> </w:t>
      </w:r>
      <w:r>
        <w:t xml:space="preserve">Se explorará mediante entrevistas a autoridades departamentales y delegados gremiales. Los indicadores incluyen: consensos sobre el uso de la información, mecanismos de consulta previa y articulación de los hallazgos con los programas de capacitación docente del Departamento.</w:t>
      </w:r>
    </w:p>
    <w:bookmarkEnd w:id="22"/>
    <w:bookmarkStart w:id="23"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Los hallazgos del trabajo de campo se clasificarán según tres horizontes orientativos:</w:t>
      </w:r>
    </w:p>
    <w:p>
      <w:pPr>
        <w:pStyle w:val="Compact"/>
        <w:numPr>
          <w:ilvl w:val="0"/>
          <w:numId w:val="1005"/>
        </w:numPr>
      </w:pPr>
      <w:r>
        <w:rPr>
          <w:b/>
          <w:bCs/>
        </w:rPr>
        <w:t xml:space="preserve">Factibilidad Favorable:</w:t>
      </w:r>
      <w:r>
        <w:t xml:space="preserve"> </w:t>
      </w:r>
      <w:r>
        <w:t xml:space="preserve">Cuando los actores institucionales involucrados (docentes y estudiantes) expresan apertura y predisposición hacia el modelo, existen plataformas técnicas accesibles, no se identifican barreras estatutarias insalvables y prevalece un clima de confianza para la retroalimentación formativa.</w:t>
      </w:r>
    </w:p>
    <w:p>
      <w:pPr>
        <w:pStyle w:val="Compact"/>
        <w:numPr>
          <w:ilvl w:val="0"/>
          <w:numId w:val="1005"/>
        </w:numPr>
      </w:pPr>
      <w:r>
        <w:rPr>
          <w:b/>
          <w:bCs/>
        </w:rPr>
        <w:t xml:space="preserve">Factibilidad Condicionada:</w:t>
      </w:r>
      <w:r>
        <w:t xml:space="preserve"> </w:t>
      </w:r>
      <w:r>
        <w:t xml:space="preserve">Cuando el modelo es valorado favorablemente en sus fines pero se detectan obstáculos subsanables (por ejemplo, reparos sobre la confidencialidad, sobrecarga administrativa o necesidad de acuerdos paritarios específicos que delimiten con precisión el carácter no punitivo del dispositivo).</w:t>
      </w:r>
    </w:p>
    <w:p>
      <w:pPr>
        <w:pStyle w:val="Compact"/>
        <w:numPr>
          <w:ilvl w:val="0"/>
          <w:numId w:val="1005"/>
        </w:numPr>
      </w:pPr>
      <w:r>
        <w:rPr>
          <w:b/>
          <w:bCs/>
        </w:rPr>
        <w:t xml:space="preserve">Baja Factibilidad:</w:t>
      </w:r>
      <w:r>
        <w:t xml:space="preserve"> </w:t>
      </w:r>
      <w:r>
        <w:t xml:space="preserve">Cuando predominan resistencias generalizadas, desconfianza profunda entre los distintos actores de la comunidad académica o incompatibilidades normativas rígidas que desaconsejan una aplicación generalizada a corto plazo, sugiriendo la necesidad previa de fortalecer la cultura evaluativa institucional.</w:t>
      </w:r>
    </w:p>
    <w:bookmarkEnd w:id="23"/>
    <w:bookmarkEnd w:id="24"/>
    <w:bookmarkStart w:id="25"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para la implementación de un modelo de retroalimentación multiactoral (360°) en la evaluación del desempeño docente en el Departamento de Administración Pública del CURZAS-UNCo durante el período 2025–2026?</w:t>
      </w:r>
    </w:p>
    <w:bookmarkEnd w:id="25"/>
    <w:bookmarkEnd w:id="26"/>
    <w:bookmarkStart w:id="30"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27"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7"/>
    <w:bookmarkStart w:id="28"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6"/>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6"/>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6"/>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8"/>
    <w:bookmarkStart w:id="29"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2"/>
        <w:keepNext/>
        <w:spacing w:before="200" w:after="80" w:line="300" w:lineRule="auto"/>
      </w:pPr>
      <w:r>
        <w:rPr>
          <w:rFonts w:ascii="Arial" w:hAnsi="Arial"/>
          <w:b/>
          <w:sz w:val="24"/>
        </w:rPr>
        <w:t xml:space="preserve">Definición de Objetivos del TFG</w:t>
      </w:r>
    </w:p>
    <w:bookmarkStart w:id="31"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7"/>
        </w:numPr>
      </w:pPr>
      <w:r>
        <w:t xml:space="preserve">Determinar las condiciones de factibilidad organizacional, técnica, normativa y de gobernanza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8"/>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8"/>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8"/>
        </w:numPr>
      </w:pPr>
      <w:r>
        <w:t xml:space="preserve">Identificar los condicionantes técnico-organizacionales, normativos y de gobernanza (acuerdos paritarios, normativa vigente de carrera docente y evaluación, confidencialidad y cogobierno) que inciden en la factibilidad del modelo.</w:t>
      </w:r>
    </w:p>
    <w:p>
      <w:pPr>
        <w:pStyle w:val="Compact"/>
        <w:numPr>
          <w:ilvl w:val="0"/>
          <w:numId w:val="1008"/>
        </w:numPr>
      </w:pPr>
      <w:r>
        <w:t xml:space="preserve">Proponer lineamientos orientativos 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9"/>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9"/>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9"/>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9"/>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 y modificatorias</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End w:id="35"/>
    <w:bookmarkStart w:id="48"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2"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6"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10"/>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10"/>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10"/>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6"/>
    <w:bookmarkStart w:id="37"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1"/>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1"/>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1"/>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1"/>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37"/>
    <w:bookmarkStart w:id="38"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2"/>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2"/>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3"/>
        </w:numPr>
      </w:pPr>
      <w:r>
        <w:rPr>
          <w:b/>
          <w:bCs/>
        </w:rPr>
        <w:t xml:space="preserve">Autoevaluación docente:</w:t>
      </w:r>
      <w:r>
        <w:t xml:space="preserve"> </w:t>
      </w:r>
      <w:r>
        <w:t xml:space="preserve">Instancia donde el propio docente reflexiona sobre sus prácticas pedagógicas, el cumplimiento de su planificación académica y los desafíos didácticos experimentados en el aula.</w:t>
      </w:r>
    </w:p>
    <w:p>
      <w:pPr>
        <w:pStyle w:val="Compact"/>
        <w:numPr>
          <w:ilvl w:val="0"/>
          <w:numId w:val="1013"/>
        </w:numPr>
      </w:pPr>
      <w:r>
        <w:rPr>
          <w:b/>
          <w:bCs/>
        </w:rPr>
        <w:t xml:space="preserve">Coevaluación entre pares o colegas de cátedra:</w:t>
      </w:r>
      <w:r>
        <w:t xml:space="preserve"> </w:t>
      </w:r>
      <w:r>
        <w:t xml:space="preserve">Valoración colegiada realizada por docentes del mismo departamento o equipo, enfocada en la pertinencia conceptual, la rigurosidad disciplinar y el trabajo colaborativo.</w:t>
      </w:r>
    </w:p>
    <w:p>
      <w:pPr>
        <w:pStyle w:val="Compact"/>
        <w:numPr>
          <w:ilvl w:val="0"/>
          <w:numId w:val="1013"/>
        </w:numPr>
      </w:pPr>
      <w:r>
        <w:rPr>
          <w:b/>
          <w:bCs/>
        </w:rPr>
        <w:t xml:space="preserve">Heteroevaluación estudiantil:</w:t>
      </w:r>
      <w:r>
        <w:t xml:space="preserve"> </w:t>
      </w:r>
      <w:r>
        <w:t xml:space="preserve">Apreciación de los estudiantes sobre la labor pedagógica, focalizada en la claridad expositiva, la accesibilidad de los recursos didácticos, la retroalimentación oportuna en evaluaciones y la empatía formativa.</w:t>
      </w:r>
    </w:p>
    <w:p>
      <w:pPr>
        <w:pStyle w:val="Compact"/>
        <w:numPr>
          <w:ilvl w:val="0"/>
          <w:numId w:val="1013"/>
        </w:numPr>
      </w:pPr>
      <w:r>
        <w:rPr>
          <w:b/>
          <w:bCs/>
        </w:rPr>
        <w:t xml:space="preserve">Apreciación de la conducción académica y departamental:</w:t>
      </w:r>
      <w:r>
        <w:t xml:space="preserve"> </w:t>
      </w:r>
      <w:r>
        <w:t xml:space="preserve">Mirada estratégica a cargo de la Dirección del Departamento,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38"/>
    <w:bookmarkStart w:id="41" w:name="Xefa297f413be63d6451681d2fe2c4ab63fd02c2"/>
    <w:p>
      <w:pPr>
        <w:pStyle w:val="Heading3"/>
        <w:keepNext/>
        <w:spacing w:before="160" w:after="40" w:line="300" w:lineRule="auto"/>
      </w:pPr>
      <w:r>
        <w:rPr>
          <w:rFonts w:ascii="Arial" w:hAnsi="Arial"/>
          <w:b/>
          <w:i/>
          <w:sz w:val="24"/>
        </w:rPr>
        <w:t xml:space="preserve">Gobernanza Universitaria,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en el marco de la Administración Pública argentina</w:t>
      </w:r>
      <w:r>
        <w:t xml:space="preserve"> </w:t>
      </w:r>
      <w:r>
        <w:t xml:space="preserve">(Matus, 1993; Oszlak, 2020)</w:t>
      </w:r>
      <w:r>
        <w:t xml:space="preserve">.</w:t>
      </w:r>
    </w:p>
    <w:p>
      <w:pPr>
        <w:pStyle w:val="BodyText"/>
      </w:pPr>
      <w:r>
        <w:t xml:space="preserve">Siguiendo a Carlos</w:t>
      </w:r>
      <w:r>
        <w:t xml:space="preserve"> </w:t>
      </w:r>
      <w:r>
        <w:t xml:space="preserve">Matus (1993)</w:t>
      </w:r>
      <w:r>
        <w:t xml:space="preserve">, la gestión en organizaciones estatales complejas se desenvuelve en escenarios de poder compartido y conflicto legítimo de intereses. Las decisiones no se imponen jerárquicamente por decreto; requieren construir consensos sobre</w:t>
      </w:r>
      <w:r>
        <w:t xml:space="preserve"> </w:t>
      </w:r>
      <w:r>
        <w:rPr>
          <w:i/>
          <w:iCs/>
        </w:rPr>
        <w:t xml:space="preserve">variables de control compartido</w:t>
      </w:r>
      <w:r>
        <w:t xml:space="preserve">. En la Universidad Nacional del Comahue y su sede descentralizada en Viedma (CURZAS), la gobernanza institucional se sustenta en tres instituciones fundamentales:</w:t>
      </w:r>
    </w:p>
    <w:p>
      <w:pPr>
        <w:pStyle w:val="Compact"/>
        <w:numPr>
          <w:ilvl w:val="0"/>
          <w:numId w:val="1014"/>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4"/>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4"/>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p>
    <w:bookmarkStart w:id="39" w:name="Xf2090d9af5b030916b9e1e2205b3a0e57672f9b"/>
    <w:p>
      <w:pPr>
        <w:pStyle w:val="Heading4"/>
      </w:pPr>
      <w:r>
        <w:t xml:space="preserve">Precisión Categorial:</w:t>
      </w:r>
      <w:r>
        <w:t xml:space="preserve"> </w:t>
      </w:r>
      <w:r>
        <w:t xml:space="preserve">“Claustro”</w:t>
      </w:r>
      <w:r>
        <w:t xml:space="preserve"> </w:t>
      </w:r>
      <w:r>
        <w:t xml:space="preserve">como Categoría Normativa versus</w:t>
      </w:r>
      <w:r>
        <w:t xml:space="preserve"> </w:t>
      </w:r>
      <w:r>
        <w:t xml:space="preserve">“Actores Institucionales”</w:t>
      </w:r>
      <w:r>
        <w:t xml:space="preserve"> </w:t>
      </w:r>
      <w:r>
        <w:t xml:space="preserve">como Categoría Analítica</w:t>
      </w:r>
    </w:p>
    <w:p>
      <w:pPr>
        <w:pStyle w:val="FirstParagraph"/>
      </w:pPr>
      <w:r>
        <w:t xml:space="preserve">Para asegurar la rigurosidad conceptual de la investigación, resulta indispensable formular una distinción analítica en torno al concepto de</w:t>
      </w:r>
      <w:r>
        <w:t xml:space="preserve"> </w:t>
      </w:r>
      <w:r>
        <w:rPr>
          <w:i/>
          <w:iCs/>
        </w:rPr>
        <w:t xml:space="preserve">claustro</w:t>
      </w:r>
      <w:r>
        <w:t xml:space="preserve">, delimitando su alcance institucional frente a las categorías analíticas adoptadas en este trabajo.</w:t>
      </w:r>
    </w:p>
    <w:p>
      <w:pPr>
        <w:pStyle w:val="BodyText"/>
      </w:pPr>
      <w:r>
        <w:t xml:space="preserve">En el plano estrictamente institucional y normativo, tanto la Ley de Educación Superior N° 24.521</w:t>
      </w:r>
      <w:r>
        <w:t xml:space="preserve"> </w:t>
      </w:r>
      <w:r>
        <w:t xml:space="preserve">(Ley N° 24.521 de Educación Superior, 1995)</w:t>
      </w:r>
      <w:r>
        <w:t xml:space="preserve"> </w:t>
      </w:r>
      <w:r>
        <w:t xml:space="preserve">como el Estatuto de la Universidad Nacional del Comahue (Ordenanza CS N° 0988/2025)</w:t>
      </w:r>
      <w:r>
        <w:t xml:space="preserve"> </w:t>
      </w:r>
      <w:r>
        <w:t xml:space="preserve">(Universidad Nacional del Comahue, 2025)</w:t>
      </w:r>
      <w:r>
        <w:t xml:space="preserve"> </w:t>
      </w:r>
      <w:r>
        <w:t xml:space="preserve">apelan a la categoría de</w:t>
      </w:r>
      <w:r>
        <w:t xml:space="preserve"> </w:t>
      </w:r>
      <w:r>
        <w:rPr>
          <w:i/>
          <w:iCs/>
        </w:rPr>
        <w:t xml:space="preserve">claustro</w:t>
      </w:r>
      <w:r>
        <w:t xml:space="preserve"> </w:t>
      </w:r>
      <w:r>
        <w:t xml:space="preserve">(docente, estudiantil, graduados y nodocente) para definir los estamentos electorales que ejercen la ciudadanía universitaria y componen formalmente los cuerpos colegiados de cogobierno (Asamblea Universitaria, Consejo Superior, Consejo Directivo del CURZAS y Consejos Departamentales). En dicha dimensión legal, el claustro representa una estructura jurídica de delegación y representación política.</w:t>
      </w:r>
    </w:p>
    <w:p>
      <w:pPr>
        <w:pStyle w:val="BodyText"/>
      </w:pPr>
      <w:r>
        <w:t xml:space="preserve">Sin embargo, para los propósitos analíticos de este proyecto, la categoría de claustro no puede asumirse como una unidad psicosocial homogénea ni como un sujeto de comportamiento unívoco. Atribuir a un estamento formal intenciones, percepciones o disposiciones psicológicas equivaldría a reificar una categoría normativa. Por ello, la presente investigación adopta como categorías analíticas operativas las nociones de</w:t>
      </w:r>
      <w:r>
        <w:t xml:space="preserve"> </w:t>
      </w:r>
      <w:r>
        <w:rPr>
          <w:b/>
          <w:bCs/>
        </w:rPr>
        <w:t xml:space="preserve">actores institucionales</w:t>
      </w:r>
      <w:r>
        <w:t xml:space="preserve">,</w:t>
      </w:r>
      <w:r>
        <w:t xml:space="preserve"> </w:t>
      </w:r>
      <w:r>
        <w:rPr>
          <w:b/>
          <w:bCs/>
        </w:rPr>
        <w:t xml:space="preserve">sujetos pedagógicos reflexivos</w:t>
      </w:r>
      <w:r>
        <w:t xml:space="preserve"> </w:t>
      </w:r>
      <w:r>
        <w:t xml:space="preserve">y</w:t>
      </w:r>
      <w:r>
        <w:t xml:space="preserve"> </w:t>
      </w:r>
      <w:r>
        <w:rPr>
          <w:b/>
          <w:bCs/>
        </w:rPr>
        <w:t xml:space="preserve">representaciones o percepciones intersubjetivas</w:t>
      </w:r>
      <w:r>
        <w:t xml:space="preserve">.</w:t>
      </w:r>
    </w:p>
    <w:p>
      <w:pPr>
        <w:pStyle w:val="BodyText"/>
      </w:pPr>
      <w:r>
        <w:t xml:space="preserve">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5"/>
        </w:numPr>
      </w:pPr>
      <w:r>
        <w:rPr>
          <w:i/>
          <w:iCs/>
        </w:rPr>
        <w:t xml:space="preserve">El docente individual y sus pares de cátedra:</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5"/>
        </w:numPr>
      </w:pPr>
      <w:r>
        <w:rPr>
          <w:i/>
          <w:iCs/>
        </w:rPr>
        <w:t xml:space="preserve">Los estudiantes:</w:t>
      </w:r>
      <w:r>
        <w:t xml:space="preserve"> </w:t>
      </w:r>
      <w:r>
        <w:t xml:space="preserve">concebidos no meramente como un estamento de representación política, sino como partícipes directos y activos del proceso formativo, portadores de experiencias, demandas y juicios sobre la calidad del acompañamiento docente.</w:t>
      </w:r>
    </w:p>
    <w:p>
      <w:pPr>
        <w:pStyle w:val="Compact"/>
        <w:numPr>
          <w:ilvl w:val="0"/>
          <w:numId w:val="1015"/>
        </w:numPr>
      </w:pPr>
      <w:r>
        <w:rPr>
          <w:i/>
          <w:iCs/>
        </w:rPr>
        <w:t xml:space="preserve">Las autoridades departamentales:</w:t>
      </w:r>
      <w:r>
        <w:t xml:space="preserve"> </w:t>
      </w:r>
      <w:r>
        <w:t xml:space="preserve">en tanto equipo de conducción electo con la responsabilidad de planificar y articular los recursos formativos con las prioridades académicas institucionales.</w:t>
      </w:r>
    </w:p>
    <w:p>
      <w:pPr>
        <w:pStyle w:val="FirstParagraph"/>
      </w:pPr>
      <w:r>
        <w:t xml:space="preserve">Esta distinción conceptual permite preservar el valor normativo del claustro en la gobernanza universitaria, al tiempo que habilita una indagación cualitativa situada y empíricamente sólida sobre las complejas dinámicas de confianza, expectativas y resistencias de los sujetos frente a la evaluación docente.</w:t>
      </w:r>
    </w:p>
    <w:bookmarkEnd w:id="39"/>
    <w:bookmarkStart w:id="40"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en lugar de predeterminar de forma deductiva las condiciones definitivas de viabilidad,</w:t>
      </w:r>
      <w:r>
        <w:t xml:space="preserve"> </w:t>
      </w:r>
      <w:r>
        <w:rPr>
          <w:b/>
          <w:bCs/>
        </w:rPr>
        <w:t xml:space="preserve">el proyecto propone explorar si estas condiciones —voluntariedad, anonimato, confidencialidad, carácter formativo e independencia respecto de los mecanismos sumativos de permanencia— constituyen requisitos necesarios para su eventual implementación</w:t>
      </w:r>
      <w:r>
        <w:t xml:space="preserve">.</w:t>
      </w:r>
    </w:p>
    <w:p>
      <w:pPr>
        <w:pStyle w:val="BodyText"/>
      </w:pPr>
      <w:r>
        <w:t xml:space="preserve">Desde esta perspectiva metodológica, la factibilidad no se asume como una certeza predefinida, sino como un objeto de indagación empírica abierto: será el trabajo de campo el que permita determinar en qué medida estas garantías son demandadas por los propios actores institucionales del CURZAS, o si emergen otros condicionantes culturales, técnicos o de gobernanza paritaria. La viabilidad se investiga, por ende, en su doble anclaje: la legitimación en los órganos colegiados de cogobierno y la construcción de confianza situada entre los sujetos de la comunidad académica.</w:t>
      </w:r>
    </w:p>
    <w:bookmarkEnd w:id="40"/>
    <w:bookmarkEnd w:id="41"/>
    <w:bookmarkEnd w:id="42"/>
    <w:bookmarkStart w:id="47"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43"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16"/>
        </w:numPr>
      </w:pPr>
      <w:r>
        <w:rPr>
          <w:b/>
          <w:bCs/>
        </w:rPr>
        <w:t xml:space="preserve">Sifuentes Ocegueda, Suárez Flores y Lara González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16"/>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16"/>
        </w:numPr>
      </w:pPr>
      <w:r>
        <w:rPr>
          <w:b/>
          <w:bCs/>
        </w:rPr>
        <w:t xml:space="preserve">Reyes y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bookmarkEnd w:id="43"/>
    <w:bookmarkStart w:id="44"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17"/>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17"/>
        </w:numPr>
      </w:pPr>
      <w:r>
        <w:rPr>
          <w:b/>
          <w:bCs/>
        </w:rPr>
        <w:t xml:space="preserve">Pérez, González y Castro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44"/>
    <w:bookmarkStart w:id="45"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18"/>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19"/>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19"/>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18"/>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18"/>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45"/>
    <w:bookmarkStart w:id="46"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w:t>
      </w:r>
      <w:r>
        <w:t xml:space="preserve"> </w:t>
      </w:r>
      <w:r>
        <w:rPr>
          <w:b/>
          <w:bCs/>
        </w:rPr>
        <w:t xml:space="preserve">área de vacancia empírica</w:t>
      </w:r>
      <w:r>
        <w:t xml:space="preserve">: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46"/>
    <w:bookmarkEnd w:id="47"/>
    <w:bookmarkEnd w:id="48"/>
    <w:bookmarkStart w:id="75" w:name="referencias-bibliográficas"/>
    <w:p>
      <w:pPr>
        <w:pStyle w:val="Heading1"/>
        <w:keepNext/>
        <w:spacing w:before="240" w:after="120" w:line="300" w:lineRule="auto"/>
        <w:jc w:val="center"/>
      </w:pPr>
      <w:r>
        <w:rPr>
          <w:rFonts w:ascii="Arial" w:hAnsi="Arial"/>
          <w:b/>
          <w:sz w:val="28"/>
        </w:rPr>
        <w:t xml:space="preserve">Referencias Bibliográficas</w:t>
      </w:r>
    </w:p>
    <w:bookmarkStart w:id="74" w:name="refs"/>
    <w:bookmarkStart w:id="49"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49"/>
    <w:bookmarkStart w:id="51"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50">
        <w:r>
          <w:rPr>
            <w:rStyle w:val="Hyperlink"/>
          </w:rPr>
          <w:t xml:space="preserve">https://web.curza.uncoma.edu.ar/educacion-distancia/nodos-curza-unco-region-sur</w:t>
        </w:r>
      </w:hyperlink>
    </w:p>
    <w:bookmarkEnd w:id="51"/>
    <w:bookmarkStart w:id="52"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52"/>
    <w:bookmarkStart w:id="54"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53">
        <w:r>
          <w:rPr>
            <w:rStyle w:val="Hyperlink"/>
          </w:rPr>
          <w:t xml:space="preserve">https://doi.org/10.2307/3541464</w:t>
        </w:r>
      </w:hyperlink>
    </w:p>
    <w:bookmarkEnd w:id="54"/>
    <w:bookmarkStart w:id="55" w:name="ref-pen2015"/>
    <w:p>
      <w:pPr>
        <w:pStyle w:val="Bibliography"/>
        <w:spacing w:after="120"/>
        <w:ind w:left="720" w:hanging="720"/>
        <w:jc w:val="left"/>
      </w:pPr>
      <w:r>
        <w:t xml:space="preserve">Decreto N° 1246/2015. Convenio Colectivo de Trabajo para los Docentes de las Instituciones Universitarias Nacionales (2015).</w:t>
      </w:r>
    </w:p>
    <w:bookmarkEnd w:id="55"/>
    <w:bookmarkStart w:id="56"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56"/>
    <w:bookmarkStart w:id="57"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57"/>
    <w:bookmarkStart w:id="58" w:name="ref-ministerio1995"/>
    <w:p>
      <w:pPr>
        <w:pStyle w:val="Bibliography"/>
        <w:spacing w:after="120"/>
        <w:ind w:left="720" w:hanging="720"/>
        <w:jc w:val="left"/>
      </w:pPr>
      <w:r>
        <w:t xml:space="preserve">Ley N° 24.521 de Educación Superior (1995).</w:t>
      </w:r>
    </w:p>
    <w:bookmarkEnd w:id="58"/>
    <w:bookmarkStart w:id="59"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59"/>
    <w:bookmarkStart w:id="60"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60"/>
    <w:bookmarkStart w:id="62"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61">
        <w:r>
          <w:rPr>
            <w:rStyle w:val="Hyperlink"/>
          </w:rPr>
          <w:t xml:space="preserve">https://medisur.sld.cu/index.php/medisur/article/view/2749</w:t>
        </w:r>
      </w:hyperlink>
    </w:p>
    <w:bookmarkEnd w:id="62"/>
    <w:bookmarkStart w:id="63"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63"/>
    <w:bookmarkStart w:id="6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64"/>
    <w:bookmarkStart w:id="6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65">
        <w:r>
          <w:rPr>
            <w:rStyle w:val="Hyperlink"/>
          </w:rPr>
          <w:t xml:space="preserve">https://dialnet.unirioja.es/descarga/articulo/7242790.pdf</w:t>
        </w:r>
      </w:hyperlink>
    </w:p>
    <w:bookmarkEnd w:id="66"/>
    <w:bookmarkStart w:id="68"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67">
        <w:r>
          <w:rPr>
            <w:rStyle w:val="Hyperlink"/>
          </w:rPr>
          <w:t xml:space="preserve">https://doi.org/10.1177/1534484316671606</w:t>
        </w:r>
      </w:hyperlink>
    </w:p>
    <w:bookmarkEnd w:id="68"/>
    <w:bookmarkStart w:id="70"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w:t>
      </w:r>
      <w:r>
        <w:t xml:space="preserve"> </w:t>
      </w:r>
      <w:hyperlink r:id="rId69">
        <w:r>
          <w:rPr>
            <w:rStyle w:val="Hyperlink"/>
          </w:rPr>
          <w:t xml:space="preserve">https://fatu-uncoma.com.ar/fatu/wp-content/uploads/2024/03/0910-1997-Reglamento-de-carrera-docente.pdf</w:t>
        </w:r>
      </w:hyperlink>
    </w:p>
    <w:bookmarkEnd w:id="70"/>
    <w:bookmarkStart w:id="72"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w:t>
      </w:r>
      <w:r>
        <w:t xml:space="preserve"> </w:t>
      </w:r>
      <w:hyperlink r:id="rId71">
        <w:r>
          <w:rPr>
            <w:rStyle w:val="Hyperlink"/>
          </w:rPr>
          <w:t xml:space="preserve">https://academica.uncoma.edu.ar/wp-content/uploads/2025/08/ord_988_2025_55.pdf</w:t>
        </w:r>
      </w:hyperlink>
    </w:p>
    <w:bookmarkEnd w:id="72"/>
    <w:bookmarkStart w:id="73"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73"/>
    <w:bookmarkEnd w:id="74"/>
    <w:bookmarkEnd w:id="75"/>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71" Type="http://schemas.openxmlformats.org/officeDocument/2006/relationships/hyperlink" Target="https://academica.uncoma.edu.ar/wp-content/uploads/2025/08/ord_988_2025_55.pdf" TargetMode="External"/><Relationship Id="rId65" Type="http://schemas.openxmlformats.org/officeDocument/2006/relationships/hyperlink" Target="https://dialnet.unirioja.es/descarga/articulo/7242790.pdf" TargetMode="External"/><Relationship Id="rId67" Type="http://schemas.openxmlformats.org/officeDocument/2006/relationships/hyperlink" Target="https://doi.org/10.1177/1534484316671606" TargetMode="External"/><Relationship Id="rId53" Type="http://schemas.openxmlformats.org/officeDocument/2006/relationships/hyperlink" Target="https://doi.org/10.2307/3541464" TargetMode="External"/><Relationship Id="rId69" Type="http://schemas.openxmlformats.org/officeDocument/2006/relationships/hyperlink" Target="https://fatu-uncoma.com.ar/fatu/wp-content/uploads/2024/03/0910-1997-Reglamento-de-carrera-docente.pdf" TargetMode="External"/><Relationship Id="rId61" Type="http://schemas.openxmlformats.org/officeDocument/2006/relationships/hyperlink" Target="https://medisur.sld.cu/index.php/medisur/article/view/2749" TargetMode="External"/><Relationship Id="rId50"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71" Type="http://schemas.openxmlformats.org/officeDocument/2006/relationships/hyperlink" Target="https://academica.uncoma.edu.ar/wp-content/uploads/2025/08/ord_988_2025_55.pdf" TargetMode="External"/><Relationship Id="rId65" Type="http://schemas.openxmlformats.org/officeDocument/2006/relationships/hyperlink" Target="https://dialnet.unirioja.es/descarga/articulo/7242790.pdf" TargetMode="External"/><Relationship Id="rId67" Type="http://schemas.openxmlformats.org/officeDocument/2006/relationships/hyperlink" Target="https://doi.org/10.1177/1534484316671606" TargetMode="External"/><Relationship Id="rId53" Type="http://schemas.openxmlformats.org/officeDocument/2006/relationships/hyperlink" Target="https://doi.org/10.2307/3541464" TargetMode="External"/><Relationship Id="rId69" Type="http://schemas.openxmlformats.org/officeDocument/2006/relationships/hyperlink" Target="https://fatu-uncoma.com.ar/fatu/wp-content/uploads/2024/03/0910-1997-Reglamento-de-carrera-docente.pdf" TargetMode="External"/><Relationship Id="rId61" Type="http://schemas.openxmlformats.org/officeDocument/2006/relationships/hyperlink" Target="https://medisur.sld.cu/index.php/medisur/article/view/2749" TargetMode="External"/><Relationship Id="rId50"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2026-09-30T21:43:24Z</dcterms:created>
  <dcterms:modified xsi:type="dcterms:W3CDTF">2026-09-30T21:43:24Z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