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(2006)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11</w:t>
      </w:r>
    </w:p>
    <w:p>
      <w:r>
        <w:fldChar w:fldCharType="end"/>
      </w:r>
    </w:p>
    <w:p>
      <w:pPr>
        <w:sectPr>
          <w:footerReference w:type="default" r:id="rId10"/>
          <w:type w:val="nextPage"/>
        </w:sectPr>
      </w:pPr>
      <w:r>
        <w:br w:type="page"/>
      </w:r>
    </w:p>
    <w:p>
      <w:pPr>
        <w:pStyle w:val="FirstParagraph"/>
        <w:spacing w:before="0" w:after="40" w:line="276" w:lineRule="auto"/>
        <w:jc w:val="center"/>
      </w:pPr>
      <w:r/>
      <w:r>
        <w:rPr>
          <w:rFonts w:ascii="Arial" w:hAnsi="Arial"/>
          <w:b/>
          <w:sz w:val="26"/>
        </w:rPr>
        <w:t>Evaluación del Desempeño Docente y Factibilidad de Implementación de un Modelo de Retroalimentación 360° en el Departamento de Administración Pública del CURZAS-UNCo (2025–2026)</w:t>
      </w:r>
    </w:p>
    <w:p>
      <w:pPr>
        <w:spacing w:before="0" w:after="120" w:line="276" w:lineRule="auto"/>
        <w:jc w:val="center"/>
      </w:pPr>
      <w:r>
        <w:rPr>
          <w:rFonts w:ascii="Arial" w:hAnsi="Arial"/>
          <w:i/>
          <w:sz w:val="22"/>
        </w:rPr>
        <w:t>(Trabajo Práctico N° 2: Primera Parte de la Estructura del Proyecto de Investigación de TFG)</w:t>
      </w:r>
    </w:p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1. Tema de Investigación</w:t>
      </w:r>
    </w:p>
    <w:p>
      <w:pPr>
        <w:pStyle w:val="FirstParagraph"/>
      </w:pPr>
      <w:r>
        <w:t xml:space="preserve">En esta primera sección del Proyecto de TFG se presenta la delimitación del tema de estudio, articulando la gestión pública universitaria con los modelos teóricos de gestión del empleo y recursos humanos en el sector público.</w:t>
      </w:r>
    </w:p>
    <w:bookmarkStart w:id="16" w:name="X3b7543707cc40a247a490b86cb2ce8465d5a046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(2006)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6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2006)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miradas sobre la labor docente: autoevaluación, valoración de pares disciplinares, apreciación de los estudiantes y seguimiento de directores departamentales</w:t>
      </w:r>
      <w:r>
        <w:t xml:space="preserve"> </w:t>
      </w:r>
      <w:r>
        <w:t xml:space="preserve">(Dalmau et al., 2017; Lepsinger &amp; Lucia, 2009)</w:t>
      </w:r>
      <w:r>
        <w:t xml:space="preserve">.</w:t>
      </w:r>
    </w:p>
    <w:bookmarkEnd w:id="16"/>
    <w:bookmarkStart w:id="17" w:name="Xbbec583eb196cb9ac3faf82921907416d115537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2. Delimitación del Objeto Problema</w:t>
      </w:r>
    </w:p>
    <w:p>
      <w:pPr>
        <w:pStyle w:val="FirstParagraph"/>
      </w:pPr>
      <w:r>
        <w:t xml:space="preserve">En este apartado se problematiza la evaluación del desempeño docente a partir de la tensión entre el control estatutario y el desarrollo formativo, precisando las delimitaciones metodológicas y las dimensiones de factibilidad.</w:t>
      </w:r>
    </w:p>
    <w:bookmarkStart w:id="19" w:name="X9314e5ae1895006622d4a256dda74be9124393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dos lógicas: el control formal-estatutario y el acompañamiento formativo enfocado en el desarrollo continuo</w:t>
      </w:r>
      <w:r>
        <w:t xml:space="preserve"> </w:t>
      </w:r>
      <w:r>
        <w:t xml:space="preserve">(Longo, 2006)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especializada destaca el modelo de</w:t>
      </w:r>
      <w:r>
        <w:t xml:space="preserve"> </w:t>
      </w:r>
      <w:r>
        <w:rPr>
          <w:b/>
          <w:bCs/>
        </w:rPr>
        <w:t xml:space="preserve">evaluación multiactoral o 360 grados</w:t>
      </w:r>
      <w:r>
        <w:t xml:space="preserve"> </w:t>
      </w:r>
      <w:r>
        <w:t xml:space="preserve">(Dalmau et al., 2017; Lepsinger &amp; Lucia, 2009)</w:t>
      </w:r>
      <w:r>
        <w:t xml:space="preserve"> </w:t>
      </w:r>
      <w:r>
        <w:t xml:space="preserve">como una herramienta idónea para articular distintas fuentes de retroalimentación: la reflexión del propio docente, el juicio de colegas de cátedra, la valoración de los estudiantes y el seguimiento institucional.</w:t>
      </w:r>
    </w:p>
    <w:p>
      <w:pPr>
        <w:pStyle w:val="BodyText"/>
      </w:pPr>
      <w:r>
        <w:t xml:space="preserve">Conviene advertir que</w:t>
      </w:r>
      <w:r>
        <w:t xml:space="preserve"> </w:t>
      </w:r>
      <w:r>
        <w:rPr>
          <w:b/>
          <w:bCs/>
        </w:rPr>
        <w:t xml:space="preserve">la evaluación 360° no garantiza resultados formativos de forma automática</w:t>
      </w:r>
      <w:r>
        <w:t xml:space="preserve">. Las investigaciones comparadas señalan que su viabilidad depende de condiciones precisas: anonimato y confidencialidad de los datos, instrumentos pedagógicamente válidos, sensibilización previa de los claustros y un clima institucional de confianza que aleje cualquier percepción de control punitivo.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2006;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(2006)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2.3 Operacionalización de las Dimensiones de Factibilidad</w:t>
      </w:r>
    </w:p>
    <w:bookmarkStart w:id="21" w:name="Xcdb87a96a95f00839381972ad43f2df4cfe9f8a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2006;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3. Justificación y Relevancia de la Investigación</w:t>
      </w:r>
    </w:p>
    <w:p>
      <w:pPr>
        <w:pStyle w:val="FirstParagraph"/>
      </w:pPr>
      <w:r>
        <w:t xml:space="preserve">A continuación, se explicita la pertinencia del estudio desde tres planos convergentes, en estricta consonancia con los criterios formales del Reglamento de TFG de la universidad:</w:t>
      </w:r>
    </w:p>
    <w:bookmarkStart w:id="27" w:name="plano-cognitivo-y-disciplinar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4. Definición de Objetivos del TFG</w:t>
      </w:r>
    </w:p>
    <w:p>
      <w:pPr>
        <w:pStyle w:val="FirstParagraph"/>
      </w:pPr>
      <w:r>
        <w:t xml:space="preserve">En este apartado se formulan las metas analíticas del proyecto en congruencia directa con la pregunta general de investigación y las dimensiones metodológicas planteadas:</w:t>
      </w:r>
    </w:p>
    <w:bookmarkStart w:id="31" w:name="objetivo-gener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296c76344d338238a09b1d3109b3b1ec06ec08f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4.3 Matriz de Consistencia Metodológica y Articulación con Longo (2006)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2006)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0" w:name="referencias"/>
    <w:p>
      <w:pPr>
        <w:pStyle w:val="Heading1"/>
        <w:keepNext/>
        <w:spacing w:before="240" w:after="120" w:line="300" w:lineRule="auto"/>
        <w:jc w:val="center"/>
      </w:pPr>
      <w:r>
        <w:rPr>
          <w:rFonts w:ascii="Arial" w:hAnsi="Arial"/>
          <w:b/>
          <w:sz w:val="28"/>
        </w:rPr>
        <w:t xml:space="preserve">Referencias</w:t>
      </w:r>
    </w:p>
    <w:bookmarkStart w:id="49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7" w:name="ref-dalmau2017"/>
    <w:p>
      <w:pPr>
        <w:pStyle w:val="Bibliography"/>
        <w:spacing w:after="120"/>
        <w:ind w:left="720" w:hanging="720"/>
        <w:jc w:val="left"/>
      </w:pPr>
      <w:r>
        <w:t xml:space="preserve">Dalmau, I., Llinares, S., &amp; Montañana, A. (2017). La evaluación docente del profesorado universitario mediante el modelo 360°: Hacia un sistema formativo e integral.</w:t>
      </w:r>
      <w:r>
        <w:t xml:space="preserve"> </w:t>
      </w:r>
      <w:r>
        <w:rPr>
          <w:i/>
          <w:iCs/>
        </w:rPr>
        <w:t xml:space="preserve">Revista de Docencia Universitaria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(2), 245-266.</w:t>
      </w:r>
      <w:r>
        <w:t xml:space="preserve"> </w:t>
      </w:r>
      <w:hyperlink r:id="rId36">
        <w:r>
          <w:rPr>
            <w:rStyle w:val="Hyperlink"/>
          </w:rPr>
          <w:t xml:space="preserve">https://doi.org/10.4995/redu.2017.6053</w:t>
        </w:r>
      </w:hyperlink>
    </w:p>
    <w:bookmarkEnd w:id="37"/>
    <w:bookmarkStart w:id="38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8"/>
    <w:bookmarkStart w:id="39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9"/>
    <w:bookmarkStart w:id="40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40"/>
    <w:bookmarkStart w:id="41" w:name="ref-longo2006"/>
    <w:p>
      <w:pPr>
        <w:pStyle w:val="Bibliography"/>
        <w:spacing w:after="120"/>
        <w:ind w:left="720" w:hanging="720"/>
        <w:jc w:val="left"/>
      </w:pPr>
      <w:r>
        <w:t xml:space="preserve">Longo, F. (2006).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41"/>
    <w:bookmarkStart w:id="42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del exponente tecnológico: Hacia una burocracia 4.0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5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5"/>
    <w:bookmarkStart w:id="46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6"/>
    <w:bookmarkStart w:id="47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7"/>
    <w:bookmarkStart w:id="48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48"/>
    <w:bookmarkEnd w:id="49"/>
    <w:bookmarkEnd w:id="50"/>
    <w:sectPr>
      <w:footerReference w:type="default" r:id="rId11"/>
      <w:footnotePr>
        <w:numRestart w:val="eachSect"/>
      </w:footnotePr>
      <w:pgMar w:top="1417" w:bottom="1417" w:left="1417" w:right="1417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400" w:line="288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2"/>
    </w:pPr>
    <w:rPr>
      <w:rFonts w:cstheme="majorBidi" w:eastAsiaTheme="majorEastAsia" w:ascii="Arial" w:hAnsi="Arial"/>
      <w:b/>
      <w:i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36" Type="http://schemas.openxmlformats.org/officeDocument/2006/relationships/hyperlink" Target="https://doi.org/10.4995/redu.2017.6053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4995/redu.2017.60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2026-09-16T16:14:47Z</dcterms:created>
  <dcterms:modified xsi:type="dcterms:W3CDTF">2026-09-16T16:14:47Z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