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</w:pPr>
      <w: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(2006)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10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10</w:t>
      </w:r>
    </w:p>
    <w:p>
      <w:r>
        <w:fldChar w:fldCharType="end"/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Evaluación del Desempeño Docente y Factibilidad de Implementación de un Modelo de Retroalimentación 360° en el Departamento de Administración Pública del CURZAS-UNCo (2025–2026)</w:t>
      </w:r>
      <w:r>
        <w:br/>
      </w:r>
      <w:r>
        <w:rPr>
          <w:i/>
          <w:iCs/>
        </w:rPr>
        <w:t xml:space="preserve">(Trabajo Práctico N° 2: Primera Parte de la Estructura del Proyecto de Investigación de TFG)</w:t>
      </w:r>
    </w:p>
    <w:p>
      <w:pPr>
        <w:pStyle w:val="BodyText"/>
      </w:pPr>
      <w:r>
        <w:br/>
      </w:r>
    </w:p>
    <w:bookmarkEnd w:id="12"/>
    <w:bookmarkStart w:id="18" w:name="tema-de-investigación"/>
    <w:p>
      <w:pPr>
        <w:pStyle w:val="Heading1"/>
      </w:pPr>
      <w:r>
        <w:t xml:space="preserve">1. Tema de Investigación</w:t>
      </w:r>
    </w:p>
    <w:bookmarkStart w:id="16" w:name="X3b7543707cc40a247a490b86cb2ce8465d5a046"/>
    <w:p>
      <w:pPr>
        <w:pStyle w:val="Heading2"/>
      </w:pPr>
      <w: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(2006)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6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2006)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miradas sobre la labor docente: autoevaluación, valoración de pares disciplinares, apreciación de los estudiantes y seguimiento de directores departamentales</w:t>
      </w:r>
      <w:r>
        <w:t xml:space="preserve"> </w:t>
      </w:r>
      <w:r>
        <w:t xml:space="preserve">(Dalmau et al., 2017; Lepsinger &amp; Lucia, 2009)</w:t>
      </w:r>
      <w:r>
        <w:t xml:space="preserve">.</w:t>
      </w:r>
    </w:p>
    <w:bookmarkEnd w:id="16"/>
    <w:bookmarkStart w:id="17" w:name="Xbbec583eb196cb9ac3faf82921907416d115537"/>
    <w:p>
      <w:pPr>
        <w:pStyle w:val="Heading2"/>
      </w:pPr>
      <w: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</w:pPr>
      <w:r>
        <w:t xml:space="preserve">2. Delimitación del Objeto Problema</w:t>
      </w:r>
    </w:p>
    <w:bookmarkStart w:id="19" w:name="X9314e5ae1895006622d4a256dda74be91243933"/>
    <w:p>
      <w:pPr>
        <w:pStyle w:val="Heading2"/>
      </w:pPr>
      <w: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dos lógicas: el control formal-estatutario y el acompañamiento formativo enfocado en el desarrollo continuo</w:t>
      </w:r>
      <w:r>
        <w:t xml:space="preserve"> </w:t>
      </w:r>
      <w:r>
        <w:t xml:space="preserve">(Longo, 2006)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especializada destaca el modelo de</w:t>
      </w:r>
      <w:r>
        <w:t xml:space="preserve"> </w:t>
      </w:r>
      <w:r>
        <w:rPr>
          <w:b/>
          <w:bCs/>
        </w:rPr>
        <w:t xml:space="preserve">evaluación multiactoral o 360 grados</w:t>
      </w:r>
      <w:r>
        <w:t xml:space="preserve"> </w:t>
      </w:r>
      <w:r>
        <w:t xml:space="preserve">(Dalmau et al., 2017; Lepsinger &amp; Lucia, 2009)</w:t>
      </w:r>
      <w:r>
        <w:t xml:space="preserve"> </w:t>
      </w:r>
      <w:r>
        <w:t xml:space="preserve">como una herramienta idónea para articular distintas fuentes de retroalimentación: la reflexión del propio docente, el juicio de colegas de cátedra, la valoración de los estudiantes y el seguimiento institucional.</w:t>
      </w:r>
    </w:p>
    <w:p>
      <w:pPr>
        <w:pStyle w:val="BodyText"/>
      </w:pPr>
      <w:r>
        <w:t xml:space="preserve">Conviene advertir que</w:t>
      </w:r>
      <w:r>
        <w:t xml:space="preserve"> </w:t>
      </w:r>
      <w:r>
        <w:rPr>
          <w:b/>
          <w:bCs/>
        </w:rPr>
        <w:t xml:space="preserve">la evaluación 360° no garantiza resultados formativos de forma automática</w:t>
      </w:r>
      <w:r>
        <w:t xml:space="preserve">. Las investigaciones comparadas señalan que su viabilidad depende de condiciones precisas: anonimato y confidencialidad de los datos, instrumentos pedagógicamente válidos, sensibilización previa de los claustros y un clima institucional de confianza que aleje cualquier percepción de control punitivo.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2006;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</w:pPr>
      <w: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(2006)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</w:pPr>
      <w:r>
        <w:t xml:space="preserve">2.3 Operacionalización de las Dimensiones de Factibilidad</w:t>
      </w:r>
    </w:p>
    <w:bookmarkStart w:id="21" w:name="Xcdb87a96a95f00839381972ad43f2df4cfe9f8a"/>
    <w:p>
      <w:pPr>
        <w:pStyle w:val="Heading3"/>
      </w:pPr>
      <w: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2006;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</w:pPr>
      <w: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</w:pPr>
      <w: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</w:pPr>
      <w: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</w:pPr>
      <w:r>
        <w:t xml:space="preserve">3. Justificación y Relevancia de la Investigación</w:t>
      </w:r>
    </w:p>
    <w:p>
      <w:pPr>
        <w:pStyle w:val="FirstParagraph"/>
      </w:pPr>
      <w:r>
        <w:t xml:space="preserve">La pertinencia del proyecto se sustenta en tres planos complementarios, acatando el esquema formal establecido por la normativa de graduación institucional</w:t>
      </w:r>
      <w:r>
        <w:t xml:space="preserve"> </w:t>
      </w:r>
      <w:r>
        <w:t xml:space="preserve">(Universidad Nacional del Comahue - CURZAS, 2023)</w:t>
      </w:r>
      <w:r>
        <w:t xml:space="preserve">:</w:t>
      </w:r>
    </w:p>
    <w:bookmarkStart w:id="27" w:name="plano-cognitivo-y-disciplinar"/>
    <w:p>
      <w:pPr>
        <w:pStyle w:val="Heading2"/>
      </w:pPr>
      <w: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</w:pPr>
      <w: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</w:pPr>
      <w: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</w:pPr>
      <w:r>
        <w:t xml:space="preserve">4. Definición de Objetivos del TFG</w:t>
      </w:r>
    </w:p>
    <w:p>
      <w:pPr>
        <w:pStyle w:val="FirstParagraph"/>
      </w:pPr>
      <w:r>
        <w:t xml:space="preserve">En estricta correspondencia lógica y simétrica con la pregunta general de investigación, los objetivos se formulan mediante verbos en infinitivo que denotan acción empíricamente contrastable:</w:t>
      </w:r>
    </w:p>
    <w:bookmarkStart w:id="31" w:name="objetivo-general"/>
    <w:p>
      <w:pPr>
        <w:pStyle w:val="Heading2"/>
      </w:pPr>
      <w: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</w:pPr>
      <w: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296c76344d338238a09b1d3109b3b1ec06ec08f"/>
    <w:p>
      <w:pPr>
        <w:pStyle w:val="Heading2"/>
      </w:pPr>
      <w:r>
        <w:t xml:space="preserve">4.3 Matriz de Consistencia Metodológica y Articulación con Longo (2006)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2006)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0" w:name="referencias"/>
    <w:p>
      <w:pPr>
        <w:pStyle w:val="Heading1"/>
        <w:jc w:val="center"/>
      </w:pPr>
      <w:r>
        <w:t xml:space="preserve">Referencias</w:t>
      </w:r>
    </w:p>
    <w:bookmarkStart w:id="49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7" w:name="ref-dalmau2017"/>
    <w:p>
      <w:pPr>
        <w:pStyle w:val="Bibliography"/>
        <w:spacing w:after="120"/>
        <w:ind w:left="720" w:hanging="720"/>
        <w:jc w:val="left"/>
      </w:pPr>
      <w:r>
        <w:t xml:space="preserve">Dalmau, I., Llinares, S., &amp; Montañana, A. (2017). La evaluación docente del profesorado universitario mediante el modelo 360°: Hacia un sistema formativo e integral.</w:t>
      </w:r>
      <w:r>
        <w:t xml:space="preserve"> </w:t>
      </w:r>
      <w:r>
        <w:rPr>
          <w:i/>
          <w:iCs/>
        </w:rPr>
        <w:t xml:space="preserve">Revista de Docencia Universitaria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(2), 245-266.</w:t>
      </w:r>
      <w:r>
        <w:t xml:space="preserve"> </w:t>
      </w:r>
      <w:hyperlink r:id="rId36">
        <w:r>
          <w:rPr>
            <w:rStyle w:val="Hyperlink"/>
          </w:rPr>
          <w:t xml:space="preserve">https://doi.org/10.4995/redu.2017.6053</w:t>
        </w:r>
      </w:hyperlink>
    </w:p>
    <w:bookmarkEnd w:id="37"/>
    <w:bookmarkStart w:id="38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8"/>
    <w:bookmarkStart w:id="39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9"/>
    <w:bookmarkStart w:id="40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40"/>
    <w:bookmarkStart w:id="41" w:name="ref-longo2006"/>
    <w:p>
      <w:pPr>
        <w:pStyle w:val="Bibliography"/>
        <w:spacing w:after="120"/>
        <w:ind w:left="720" w:hanging="720"/>
        <w:jc w:val="left"/>
      </w:pPr>
      <w:r>
        <w:t xml:space="preserve">Longo, F. (2006).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41"/>
    <w:bookmarkStart w:id="42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del exponente tecnológico: Hacia una burocracia 4.0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5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5"/>
    <w:bookmarkStart w:id="46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6"/>
    <w:bookmarkStart w:id="47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7"/>
    <w:bookmarkStart w:id="48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48"/>
    <w:bookmarkEnd w:id="49"/>
    <w:bookmarkEnd w:id="50"/>
    <w:sectPr>
      <w:footerReference w:type="default" r:id="rId10"/>
      <w:footnotePr>
        <w:numRestart w:val="eachSect"/>
      </w:footnotePr>
      <w:pgMar w:top="1417" w:bottom="1417" w:left="1417" w:right="1417"/>
      <w:titlePg/>
      <w:pgNumType w:start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Arial" w:hAnsi="Arial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36" Type="http://schemas.openxmlformats.org/officeDocument/2006/relationships/hyperlink" Target="https://doi.org/10.4995/redu.2017.6053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4995/redu.2017.60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2026-09-16T15:28:13Z</dcterms:created>
  <dcterms:modified xsi:type="dcterms:W3CDTF">2026-09-16T15:28:13Z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