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9</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4.1 Objetivo General</w:t>
      </w:r>
      <w:r>
        <w:tab/>
      </w:r>
      <w:r>
        <w:rPr>
          <w:rFonts w:ascii="Arial" w:hAnsi="Arial"/>
          <w:sz w:val="22"/>
        </w:rPr>
        <w:t>9</w:t>
      </w:r>
    </w:p>
    <w:p>
      <w:pPr>
        <w:pStyle w:val="TOC1"/>
        <w:tabs>
          <w:tab w:val="right" w:leader="dot" w:pos="9026"/>
        </w:tabs>
        <w:ind w:left="0"/>
        <w:spacing w:after="60"/>
      </w:pPr>
      <w:r>
        <w:rPr>
          <w:rFonts w:ascii="Arial" w:hAnsi="Arial"/>
          <w:sz w:val="22"/>
        </w:rPr>
        <w:t>4.2 Objetivos Específicos</w:t>
      </w:r>
      <w:r>
        <w:tab/>
      </w:r>
      <w:r>
        <w:rPr>
          <w:rFonts w:ascii="Arial" w:hAnsi="Arial"/>
          <w:sz w:val="22"/>
        </w:rPr>
        <w:t>9</w:t>
      </w:r>
    </w:p>
    <w:p>
      <w:pPr>
        <w:pStyle w:val="TOC1"/>
        <w:tabs>
          <w:tab w:val="right" w:leader="dot" w:pos="9026"/>
        </w:tabs>
        <w:ind w:left="0"/>
        <w:spacing w:after="60"/>
      </w:pPr>
      <w:r>
        <w:rPr>
          <w:rFonts w:ascii="Arial" w:hAnsi="Arial"/>
          <w:sz w:val="22"/>
        </w:rPr>
        <w:t>4.3 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Referencias</w:t>
      </w:r>
      <w:r>
        <w:tab/>
      </w:r>
      <w:r>
        <w:rPr>
          <w:rFonts w:ascii="Arial" w:hAnsi="Arial"/>
          <w:sz w:val="22"/>
        </w:rPr>
        <w:t>12</w:t>
      </w:r>
    </w:p>
    <w:p>
      <w:pPr>
        <w:pStyle w:val="TOC1"/>
        <w:tabs>
          <w:tab w:val="right" w:leader="dot" w:pos="9026"/>
        </w:tabs>
        <w:ind w:left="0"/>
        <w:spacing w:after="60"/>
      </w:pPr>
      <w:r>
        <w:rPr>
          <w:rFonts w:ascii="Arial" w:hAnsi="Arial"/>
          <w:sz w:val="22"/>
        </w:rPr>
        <w:t>Bibliografía</w:t>
      </w:r>
      <w:r>
        <w:tab/>
      </w:r>
      <w:r>
        <w:rPr>
          <w:rFonts w:ascii="Arial" w:hAnsi="Arial"/>
          <w:sz w:val="22"/>
        </w:rPr>
        <w:t>12</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2: Primera Parte de la Estructura del Proyecto de Investigación de TFG)</w:t>
      </w:r>
    </w:p>
    <w:p>
      <w:pPr>
        <w:pStyle w:val="Heading1"/>
        <w:keepNext/>
        <w:spacing w:before="240" w:after="120" w:line="300" w:lineRule="auto"/>
      </w:pPr>
      <w:r>
        <w:rPr>
          <w:rFonts w:ascii="Arial" w:hAnsi="Arial"/>
          <w:b/>
          <w:sz w:val="28"/>
        </w:rPr>
        <w:t xml:space="preserve">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2"/>
        <w:keepNext/>
        <w:spacing w:before="200" w:after="80" w:line="300" w:lineRule="auto"/>
      </w:pPr>
      <w:r>
        <w:rPr>
          <w:rFonts w:ascii="Arial" w:hAnsi="Arial"/>
          <w:b/>
          <w:sz w:val="24"/>
        </w:rPr>
        <w:t xml:space="preserve">1.1 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2"/>
        <w:keepNext/>
        <w:spacing w:before="200" w:after="80" w:line="300" w:lineRule="auto"/>
      </w:pPr>
      <w:r>
        <w:rPr>
          <w:rFonts w:ascii="Arial" w:hAnsi="Arial"/>
          <w:b/>
          <w:sz w:val="24"/>
        </w:rPr>
        <w:t xml:space="preserve">1.2 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1"/>
        <w:keepNext/>
        <w:spacing w:before="240" w:after="120" w:line="300" w:lineRule="auto"/>
      </w:pPr>
      <w:r>
        <w:rPr>
          <w:rFonts w:ascii="Arial" w:hAnsi="Arial"/>
          <w:b/>
          <w:sz w:val="28"/>
        </w:rPr>
        <w:t xml:space="preserve">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2"/>
        <w:keepNext/>
        <w:spacing w:before="200" w:after="80" w:line="300" w:lineRule="auto"/>
      </w:pPr>
      <w:r>
        <w:rPr>
          <w:rFonts w:ascii="Arial" w:hAnsi="Arial"/>
          <w:b/>
          <w:sz w:val="24"/>
        </w:rP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 circuito de retroalimentación 360° estrictamente formativo, confidencial e independiente del legajo sumativo.</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 gobernanza universitaria: un espacio colegiado donde las políticas de gestión de personas se construyen sobre</w:t>
      </w:r>
      <w:r>
        <w:t xml:space="preserve"> </w:t>
      </w:r>
      <w:r>
        <w:rPr>
          <w:i/>
          <w:iCs/>
        </w:rPr>
        <w:t xml:space="preserve">variables de control compartido</w:t>
      </w:r>
      <w:r>
        <w:t xml:space="preserve"> </w:t>
      </w:r>
      <w:r>
        <w:t xml:space="preserve">(Longo, 2006; Matus, 1993)</w:t>
      </w:r>
      <w:r>
        <w:t xml:space="preserve">.</w:t>
      </w:r>
    </w:p>
    <w:bookmarkEnd w:id="19"/>
    <w:bookmarkStart w:id="20" w:name="Xd94378588030de20cc99227353d9ba92b45f085"/>
    <w:p>
      <w:pPr>
        <w:pStyle w:val="Heading2"/>
        <w:keepNext/>
        <w:spacing w:before="200" w:after="80" w:line="300" w:lineRule="auto"/>
      </w:pPr>
      <w:r>
        <w:rPr>
          <w:rFonts w:ascii="Arial" w:hAnsi="Arial"/>
          <w:b/>
          <w:sz w:val="24"/>
        </w:rP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Condiciones de factibilidad organizacional, técnica, normativa y de gobernanza para la implementación de un modelo de retroalimentación multiactoral (360°) en la evaluación del desempeño docente en el Departamento de Administración Pública del CURZAS-UNCo.</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w:t>
      </w:r>
      <w:r>
        <w:t xml:space="preserve"> </w:t>
      </w:r>
      <w:r>
        <w:t xml:space="preserve">Matus (1993)</w:t>
      </w:r>
      <w:r>
        <w:t xml:space="preserve">]; y</w:t>
      </w:r>
      <w:r>
        <w:t xml:space="preserve"> </w:t>
      </w:r>
      <w:r>
        <w:rPr>
          <w:i/>
          <w:iCs/>
        </w:rPr>
        <w:t xml:space="preserve">Gestión del Desarrollo</w:t>
      </w:r>
      <w:r>
        <w:t xml:space="preserve"> </w:t>
      </w:r>
      <w:r>
        <w:t xml:space="preserve">[aprendizaje continuo y formación pedagógica articulada;</w:t>
      </w:r>
      <w:r>
        <w:t xml:space="preserve"> </w:t>
      </w:r>
      <w:r>
        <w:t xml:space="preserve">Longo (2006)</w:t>
      </w:r>
      <w:r>
        <w:t xml:space="preserve">].</w:t>
      </w:r>
    </w:p>
    <w:p>
      <w:pPr>
        <w:pStyle w:val="Compact"/>
        <w:numPr>
          <w:ilvl w:val="0"/>
          <w:numId w:val="1001"/>
        </w:numPr>
      </w:pPr>
      <w:r>
        <w:rPr>
          <w:b/>
          <w:bCs/>
        </w:rPr>
        <w:t xml:space="preserve">Delimitación Temporal:</w:t>
      </w:r>
      <w:r>
        <w:t xml:space="preserve"> </w:t>
      </w:r>
      <w:r>
        <w:t xml:space="preserve">Período de investigación 2025–2026, organizado en dos etapas:</w:t>
      </w:r>
    </w:p>
    <w:p>
      <w:pPr>
        <w:pStyle w:val="Compact"/>
        <w:numPr>
          <w:ilvl w:val="1"/>
          <w:numId w:val="1002"/>
        </w:numPr>
      </w:pPr>
      <w:r>
        <w:rPr>
          <w:b/>
          <w:bCs/>
        </w:rPr>
        <w:t xml:space="preserve">Fase preliminar y documental (2025–primer semestre 2026):</w:t>
      </w:r>
      <w:r>
        <w:t xml:space="preserve"> </w:t>
      </w:r>
      <w:r>
        <w:t xml:space="preserve">Formulación del problema, revisión bibliográfica sistemática sobre evaluación 360°, análisis normativo institucional (Estatuto UNCo, Ordenanza CS N° 0988/2025; Carrera Docente, Ordenanza CS N° 0920/2019 con sus modificatorias;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(Provincia de Río Negro).</w:t>
      </w:r>
    </w:p>
    <w:bookmarkEnd w:id="20"/>
    <w:bookmarkStart w:id="24" w:name="Xeb201754d94bbce47beccc43470bd16217c3db3"/>
    <w:p>
      <w:pPr>
        <w:pStyle w:val="Heading2"/>
        <w:keepNext/>
        <w:spacing w:before="200" w:after="80" w:line="300" w:lineRule="auto"/>
      </w:pPr>
      <w:r>
        <w:rPr>
          <w:rFonts w:ascii="Arial" w:hAnsi="Arial"/>
          <w:b/>
          <w:sz w:val="24"/>
        </w:rPr>
        <w:t xml:space="preserve">2.3 Operacionalización de las Dimensiones de Factibilidad</w:t>
      </w:r>
    </w:p>
    <w:bookmarkStart w:id="21" w:name="Xcdb87a96a95f00839381972ad43f2df4cfe9f8a"/>
    <w:p>
      <w:pPr>
        <w:pStyle w:val="Heading3"/>
        <w:keepNext/>
        <w:spacing w:before="160" w:after="40" w:line="300" w:lineRule="auto"/>
      </w:pPr>
      <w:r>
        <w:rPr>
          <w:rFonts w:ascii="Arial" w:hAnsi="Arial"/>
          <w:b/>
          <w:i/>
          <w:sz w:val="24"/>
        </w:rPr>
        <w:t xml:space="preserve">2.3.1 Definición Conceptual y Operativa de Factibilidad</w:t>
      </w:r>
    </w:p>
    <w:p>
      <w:pPr>
        <w:pStyle w:val="FirstParagraph"/>
      </w:pPr>
      <w:r>
        <w:t xml:space="preserve">En el marco de la gestión pública universitaria, la factibilidad en esta investigación no se concibe como una viabilidad técnica abstracta ni como una imposición gerencial vertical. Se define operativamente como la convergencia de condiciones normativas, organizacionales, técnicas y de legitimidad institucional que permitan implementar un modelo de retroalimentación 360° con sentido formativo y sin vulnerar derechos laborales adquiridos.</w:t>
      </w:r>
    </w:p>
    <w:p>
      <w:pPr>
        <w:pStyle w:val="BodyText"/>
      </w:pPr>
      <w:r>
        <w:t xml:space="preserve">En términos prácticos, determinar si el modelo es factible en el Departamento de Administración Pública del CURZAS exige responder a cinco interrogantes centrales, correspondientes punto por punto con sus dimensiones analíticas:</w:t>
      </w:r>
      <w:r>
        <w:t xml:space="preserve"> </w:t>
      </w:r>
      <w:r>
        <w:t xml:space="preserve">1.</w:t>
      </w:r>
      <w:r>
        <w:t xml:space="preserve"> </w:t>
      </w:r>
      <w:r>
        <w:rPr>
          <w:b/>
          <w:bCs/>
        </w:rPr>
        <w:t xml:space="preserve">Factibilidad Normativa y Estatutaria:</w:t>
      </w:r>
      <w:r>
        <w:t xml:space="preserve"> </w:t>
      </w:r>
      <w:r>
        <w:t xml:space="preserve">¿Puede aplicarse con fines formativos sin colisionar con la estabilidad laboral regulada por el Estatuto UNCo (Ord. N° 0988/2025), la Carrera Docente (Ord. N° 0920/2019 y modificatorias) y el CCT Docente (Decreto N° 1246/2015)?</w:t>
      </w:r>
      <w:r>
        <w:t xml:space="preserve"> </w:t>
      </w:r>
      <w:r>
        <w:t xml:space="preserve">2.</w:t>
      </w:r>
      <w:r>
        <w:t xml:space="preserve"> </w:t>
      </w:r>
      <w:r>
        <w:rPr>
          <w:b/>
          <w:bCs/>
        </w:rPr>
        <w:t xml:space="preserve">Factibilidad Técnica e Instrumental:</w:t>
      </w:r>
      <w:r>
        <w:t xml:space="preserve"> </w:t>
      </w:r>
      <w:r>
        <w:t xml:space="preserve">¿Existen plataformas informáticas (SIU-Guaraní, campus virtual) e instrumentos pedagógicamente válidos capaces de resguardar el anonimato?</w:t>
      </w:r>
      <w:r>
        <w:t xml:space="preserve"> </w:t>
      </w:r>
      <w:r>
        <w:t xml:space="preserve">3.</w:t>
      </w:r>
      <w:r>
        <w:t xml:space="preserve"> </w:t>
      </w:r>
      <w:r>
        <w:rPr>
          <w:b/>
          <w:bCs/>
        </w:rPr>
        <w:t xml:space="preserve">Factibilidad Organizacional y Procedimental:</w:t>
      </w:r>
      <w:r>
        <w:t xml:space="preserve"> </w:t>
      </w:r>
      <w:r>
        <w:t xml:space="preserve">¿Cuenta el departamento con circuitos administrativos, roles institucionales y tiempos de gestión idóneos para procesar devoluciones oportunas?</w:t>
      </w:r>
      <w:r>
        <w:t xml:space="preserve"> </w:t>
      </w:r>
      <w:r>
        <w:t xml:space="preserve">4.</w:t>
      </w:r>
      <w:r>
        <w:t xml:space="preserve"> </w:t>
      </w:r>
      <w:r>
        <w:rPr>
          <w:b/>
          <w:bCs/>
        </w:rPr>
        <w:t xml:space="preserve">Factibilidad Cultural y Actitudinal:</w:t>
      </w:r>
      <w:r>
        <w:t xml:space="preserve"> </w:t>
      </w:r>
      <w:r>
        <w:t xml:space="preserve">¿Existe disposición favorable en los claustros involucrados (docentes y estudiantes) y en las autoridades departamentales para participar en una evaluación multiactoral, atenuando prevenciones frente al control jerárquico?</w:t>
      </w:r>
      <w:r>
        <w:t xml:space="preserve"> </w:t>
      </w:r>
      <w:r>
        <w:t xml:space="preserve">5.</w:t>
      </w:r>
      <w:r>
        <w:t xml:space="preserve"> </w:t>
      </w:r>
      <w:r>
        <w:rPr>
          <w:b/>
          <w:bCs/>
        </w:rPr>
        <w:t xml:space="preserve">Factibilidad de Gobernanza y Política Institucional:</w:t>
      </w:r>
      <w:r>
        <w:t xml:space="preserve"> </w:t>
      </w:r>
      <w:r>
        <w:t xml:space="preserve">¿Cuenta la propuesta con viabilidad política para ser tratada y consensuada en los órganos colegiados y mesas paritarias sobre variables de control compartido</w:t>
      </w:r>
      <w:r>
        <w:t xml:space="preserve"> </w:t>
      </w:r>
      <w:r>
        <w:t xml:space="preserve">(Longo, 2006; Matus, 1993)</w:t>
      </w:r>
      <w:r>
        <w:t xml:space="preserve">?</w:t>
      </w:r>
    </w:p>
    <w:bookmarkEnd w:id="21"/>
    <w:bookmarkStart w:id="22" w:name="X5965ca74dc7a4b9398fc285497af16a05ed033f"/>
    <w:p>
      <w:pPr>
        <w:pStyle w:val="Heading3"/>
        <w:keepNext/>
        <w:spacing w:before="160" w:after="40" w:line="300" w:lineRule="auto"/>
      </w:pPr>
      <w:r>
        <w:rPr>
          <w:rFonts w:ascii="Arial" w:hAnsi="Arial"/>
          <w:b/>
          <w:i/>
          <w:sz w:val="24"/>
        </w:rPr>
        <w:t xml:space="preserve">2.3.2 Dimensiones de Observación y Fuentes Empíricas</w:t>
      </w:r>
    </w:p>
    <w:p>
      <w:pPr>
        <w:pStyle w:val="FirstParagraph"/>
      </w:pPr>
      <w:r>
        <w:t xml:space="preserve">Para contrastar estos aspectos en el trabajo de campo, la investigación desagrega la factibilidad en cinco dimensiones observables alineadas con los interrogantes planteados: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N° 0988/2025), la Carrera Docente (Ord. N° 0920/2019 y modificatorias) y el CCT Docente (Decreto N° 1246/2015)</w:t>
            </w:r>
          </w:p>
        </w:tc>
        <w:tc>
          <w:tcPr/>
          <w:p>
            <w:pPr>
              <w:pStyle w:val="Compact"/>
              <w:jc w:val="left"/>
            </w:pPr>
            <w:r>
              <w:t xml:space="preserve">Análisis documental normativo; ausencia de colisión con la estabilidad laboral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validez metodológica de instrumentos de consulta</w:t>
            </w:r>
          </w:p>
        </w:tc>
        <w:tc>
          <w:tcPr/>
          <w:p>
            <w:pPr>
              <w:pStyle w:val="Compact"/>
              <w:jc w:val="left"/>
            </w:pPr>
            <w:r>
              <w:t xml:space="preserve">Relevamiento de entornos virtuales (SIU-Guaraní, campus virtual); confiabilidad técnica y anonimato</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 administrativa</w:t>
            </w:r>
          </w:p>
        </w:tc>
        <w:tc>
          <w:tcPr/>
          <w:p>
            <w:pPr>
              <w:pStyle w:val="Compact"/>
              <w:jc w:val="left"/>
            </w:pPr>
            <w:r>
              <w:t xml:space="preserve">Procedimientos administrativos instituidos; capacidad organizacional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claustros y autoridades ante la coevaluación</w:t>
            </w:r>
          </w:p>
        </w:tc>
        <w:tc>
          <w:tcPr/>
          <w:p>
            <w:pPr>
              <w:pStyle w:val="Compact"/>
              <w:jc w:val="left"/>
            </w:pPr>
            <w:r>
              <w:t xml:space="preserve">Cuestionarios y entrevistas; percepción de utilidad pedagógica y superación de tensiones frente al control auditador</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Superior y Consejo Directivo) y mesas paritarias docentes</w:t>
            </w:r>
          </w:p>
        </w:tc>
        <w:tc>
          <w:tcPr/>
          <w:p>
            <w:pPr>
              <w:pStyle w:val="Compact"/>
              <w:jc w:val="left"/>
            </w:pPr>
            <w:r>
              <w:t xml:space="preserve">Acuerdos colegiados; consulta a representaciones gremiales y departamentales sobre variables de control compartido</w:t>
            </w:r>
          </w:p>
        </w:tc>
      </w:tr>
    </w:tbl>
    <w:p>
      <w:pPr>
        <w:pStyle w:val="BodyText"/>
      </w:pPr>
      <w:r>
        <w:rPr>
          <w:i/>
          <w:iCs/>
        </w:rPr>
        <w:t xml:space="preserve">Nota.</w:t>
      </w:r>
      <w:r>
        <w:t xml:space="preserve"> </w:t>
      </w:r>
      <w:r>
        <w:t xml:space="preserve">Elaboración propia en base a las dimensiones de factibilidad analítica y el marco normativo de la Universidad Nacional del Comahue.</w:t>
      </w:r>
    </w:p>
    <w:bookmarkEnd w:id="22"/>
    <w:bookmarkStart w:id="23" w:name="X8f4da2a33d80423d494a47dd434126cfe1b5efc"/>
    <w:p>
      <w:pPr>
        <w:pStyle w:val="Heading3"/>
        <w:keepNext/>
        <w:spacing w:before="160" w:after="40" w:line="300" w:lineRule="auto"/>
      </w:pPr>
      <w:r>
        <w:rPr>
          <w:rFonts w:ascii="Arial" w:hAnsi="Arial"/>
          <w:b/>
          <w:i/>
          <w:sz w:val="24"/>
        </w:rPr>
        <w:t xml:space="preserve">2.3.3 Criterios Cualitativos para la Interpretación de Resultados</w:t>
      </w:r>
    </w:p>
    <w:p>
      <w:pPr>
        <w:pStyle w:val="FirstParagraph"/>
      </w:pPr>
      <w:r>
        <w:t xml:space="preserve">La síntesis analítica y la asignación a la categoría global de factibilidad responden a una regla de integración sistemática basada en la articulación de las cinco dimensiones:</w:t>
      </w:r>
    </w:p>
    <w:p>
      <w:pPr>
        <w:pStyle w:val="Compact"/>
        <w:numPr>
          <w:ilvl w:val="0"/>
          <w:numId w:val="1003"/>
        </w:numPr>
      </w:pPr>
      <w:r>
        <w:rPr>
          <w:b/>
          <w:bCs/>
        </w:rPr>
        <w:t xml:space="preserve">Factibilidad Alta (Favorable):</w:t>
      </w:r>
      <w:r>
        <w:t xml:space="preserve"> </w:t>
      </w:r>
      <w:r>
        <w:t xml:space="preserve">Se determina únicamente cuando se verifica una evaluación favorable y convergente en las cinco dimensiones: compatibilidad normativa plena con el Estatuto UNCo (Ord. N° 0988/2025), soporte tecnológico garantizado, capacidad procedimental instalada, disposición favorable de los claustros involucrados (docentes y estudiantes) junto a las autoridades departamentales, y viabilidad de tratamiento colegiado en el cogobierno.</w:t>
      </w:r>
    </w:p>
    <w:p>
      <w:pPr>
        <w:pStyle w:val="Compact"/>
        <w:numPr>
          <w:ilvl w:val="0"/>
          <w:numId w:val="1003"/>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gestión previa: acuerdos paritarios sobre confidencialidad, adecuación de plataformas digitales, talleres de sensibilización, aprobación de órganos colegiados o implementación mediante pruebas piloto graduadas</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3"/>
        </w:numPr>
      </w:pPr>
      <w:r>
        <w:rPr>
          <w:b/>
          <w:bCs/>
        </w:rPr>
        <w:t xml:space="preserve">Factibilidad Baja (Desfavorable / Inviable):</w:t>
      </w:r>
      <w:r>
        <w:t xml:space="preserve"> </w:t>
      </w:r>
      <w:r>
        <w:t xml:space="preserve">Se determina ante la presencia de al menos un obstáculo estructural no superable en el mediano plazo, tal como la colisión insalvable con el régimen estatutario de carrera docente, la desconfianza generalizada de los claustros o autoridades frente al uso punitivo de los datos o la imposibilidad técnica absoluta de garantizar el anonimato.</w:t>
      </w:r>
    </w:p>
    <w:bookmarkEnd w:id="23"/>
    <w:bookmarkEnd w:id="24"/>
    <w:bookmarkStart w:id="25" w:name="pregunta-general-de-investigación"/>
    <w:p>
      <w:pPr>
        <w:pStyle w:val="Heading2"/>
        <w:keepNext/>
        <w:spacing w:before="200" w:after="80" w:line="300" w:lineRule="auto"/>
      </w:pPr>
      <w:r>
        <w:rPr>
          <w:rFonts w:ascii="Arial" w:hAnsi="Arial"/>
          <w:b/>
          <w:sz w:val="24"/>
        </w:rP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¿Cuáles son las condiciones de factibilidad organizacional, técnica, normativa y de gobernanza para la implementación de un modelo de retroalimentación de 360 grados en la evaluación del desempeño docente en el Departamento de Administración Pública del CURZAS-UNCo (2025–2026)?</w:t>
      </w:r>
    </w:p>
    <w:bookmarkEnd w:id="25"/>
    <w:bookmarkEnd w:id="26"/>
    <w:bookmarkStart w:id="30" w:name="X681cec084bc0b6c304e32f87344fd4265dfa7e1"/>
    <w:p>
      <w:pPr>
        <w:pStyle w:val="Heading1"/>
        <w:keepNext/>
        <w:spacing w:before="240" w:after="120" w:line="300" w:lineRule="auto"/>
      </w:pPr>
      <w:r>
        <w:rPr>
          <w:rFonts w:ascii="Arial" w:hAnsi="Arial"/>
          <w:b/>
          <w:sz w:val="28"/>
        </w:rPr>
        <w:t xml:space="preserve">3. Justificación y Relevancia de la Investigación</w:t>
      </w:r>
    </w:p>
    <w:p>
      <w:pPr>
        <w:pStyle w:val="FirstParagraph"/>
      </w:pPr>
      <w:r>
        <w:t xml:space="preserve">A continuación, se explicita la pertinencia del estudio desde tres planos convergentes, en estricta consonancia con los criterios formales del Reglamento de TFG de la universidad:</w:t>
      </w:r>
    </w:p>
    <w:bookmarkStart w:id="27" w:name="plano-cognitivo-y-disciplinar"/>
    <w:p>
      <w:pPr>
        <w:pStyle w:val="Heading2"/>
        <w:keepNext/>
        <w:spacing w:before="200" w:after="80" w:line="300" w:lineRule="auto"/>
      </w:pPr>
      <w:r>
        <w:rPr>
          <w:rFonts w:ascii="Arial" w:hAnsi="Arial"/>
          <w:b/>
          <w:sz w:val="24"/>
        </w:rP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w:t>
      </w:r>
      <w:r>
        <w:t xml:space="preserve"> </w:t>
      </w:r>
      <w:r>
        <w:t xml:space="preserve">(Oszlak, 2020)</w:t>
      </w:r>
      <w:r>
        <w:t xml:space="preserve">.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w:t>
      </w:r>
      <w:r>
        <w:t xml:space="preserve"> </w:t>
      </w:r>
      <w:r>
        <w:t xml:space="preserve">Longo (2006)</w:t>
      </w:r>
      <w:r>
        <w:t xml:space="preserve"> </w:t>
      </w:r>
      <w:r>
        <w:t xml:space="preserve">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keepNext/>
        <w:spacing w:before="200" w:after="80" w:line="300" w:lineRule="auto"/>
      </w:pPr>
      <w:r>
        <w:rPr>
          <w:rFonts w:ascii="Arial" w:hAnsi="Arial"/>
          <w:b/>
          <w:sz w:val="24"/>
        </w:rP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p>
    <w:p>
      <w:pPr>
        <w:pStyle w:val="Compact"/>
        <w:numPr>
          <w:ilvl w:val="0"/>
          <w:numId w:val="1004"/>
        </w:numPr>
      </w:pPr>
      <w:r>
        <w:rPr>
          <w:i/>
          <w:i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p>
    <w:p>
      <w:pPr>
        <w:pStyle w:val="Compact"/>
        <w:numPr>
          <w:ilvl w:val="0"/>
          <w:numId w:val="1004"/>
        </w:numPr>
      </w:pPr>
      <w:r>
        <w:rPr>
          <w:i/>
          <w:i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p>
    <w:p>
      <w:pPr>
        <w:pStyle w:val="Compact"/>
        <w:numPr>
          <w:ilvl w:val="0"/>
          <w:numId w:val="1004"/>
        </w:numPr>
      </w:pPr>
      <w:r>
        <w:rPr>
          <w:i/>
          <w:i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keepNext/>
        <w:spacing w:before="200" w:after="80" w:line="300" w:lineRule="auto"/>
      </w:pPr>
      <w:r>
        <w:rPr>
          <w:rFonts w:ascii="Arial" w:hAnsi="Arial"/>
          <w:b/>
          <w:sz w:val="24"/>
        </w:rP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keepNext/>
        <w:spacing w:before="240" w:after="120" w:line="300" w:lineRule="auto"/>
      </w:pPr>
      <w:r>
        <w:rPr>
          <w:rFonts w:ascii="Arial" w:hAnsi="Arial"/>
          <w:b/>
          <w:sz w:val="28"/>
        </w:rPr>
        <w:t xml:space="preserve">4. Definición de Objetivos del TFG</w:t>
      </w:r>
    </w:p>
    <w:bookmarkStart w:id="31" w:name="objetivo-general"/>
    <w:p>
      <w:pPr>
        <w:pStyle w:val="Heading2"/>
        <w:keepNext/>
        <w:spacing w:before="200" w:after="80" w:line="300" w:lineRule="auto"/>
      </w:pPr>
      <w:r>
        <w:rPr>
          <w:rFonts w:ascii="Arial" w:hAnsi="Arial"/>
          <w:b/>
          <w:sz w:val="24"/>
        </w:rPr>
        <w:t xml:space="preserve">4.1 Objetivo General</w:t>
      </w:r>
    </w:p>
    <w:p>
      <w:pPr>
        <w:pStyle w:val="Compact"/>
        <w:numPr>
          <w:ilvl w:val="0"/>
          <w:numId w:val="1005"/>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2"/>
        <w:keepNext/>
        <w:spacing w:before="200" w:after="80" w:line="300" w:lineRule="auto"/>
      </w:pPr>
      <w:r>
        <w:rPr>
          <w:rFonts w:ascii="Arial" w:hAnsi="Arial"/>
          <w:b/>
          <w:sz w:val="24"/>
        </w:rPr>
        <w:t xml:space="preserve">4.2 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expectativas de los distintos claustros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2"/>
        <w:keepNext/>
        <w:spacing w:before="200" w:after="80" w:line="300" w:lineRule="auto"/>
      </w:pPr>
      <w:r>
        <w:rPr>
          <w:rFonts w:ascii="Arial" w:hAnsi="Arial"/>
          <w:b/>
          <w:sz w:val="24"/>
        </w:rPr>
        <w:t xml:space="preserve">4.3 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7"/>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7"/>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7"/>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7"/>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Start w:id="51" w:name="referencias"/>
    <w:p>
      <w:pPr>
        <w:pStyle w:val="Heading1"/>
        <w:keepNext/>
        <w:spacing w:before="240" w:after="120" w:line="300" w:lineRule="auto"/>
        <w:jc w:val="center"/>
      </w:pPr>
      <w:r>
        <w:rPr>
          <w:rFonts w:ascii="Arial" w:hAnsi="Arial"/>
          <w:b/>
          <w:sz w:val="28"/>
        </w:rPr>
        <w:t xml:space="preserve">Referencias</w:t>
      </w:r>
    </w:p>
    <w:bookmarkStart w:id="50" w:name="refs"/>
    <w:bookmarkStart w:id="3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5"/>
    <w:bookmarkStart w:id="36" w:name="ref-uncocurzas2023"/>
    <w:p>
      <w:pPr>
        <w:pStyle w:val="Bibliography"/>
        <w:spacing w:after="120"/>
        <w:ind w:left="720" w:hanging="720"/>
        <w:jc w:val="left"/>
      </w:pPr>
      <w:r>
        <w:t xml:space="preserve">Consejo Directivo del CURZAS. (2023).</w:t>
      </w:r>
      <w:r>
        <w:t xml:space="preserve"> </w:t>
      </w:r>
      <w:r>
        <w:rPr>
          <w:i/>
          <w:iCs/>
        </w:rPr>
        <w:t xml:space="preserve">Resolución CD-CURZAS N° 266/23: Reglamento de Trabajo Final de Graduación (TFG) para las carreras del Departamento de Administración Pública</w:t>
      </w:r>
      <w:r>
        <w:t xml:space="preserve">. Universidad Nacional del Comahue.</w:t>
      </w:r>
    </w:p>
    <w:bookmarkEnd w:id="36"/>
    <w:bookmarkStart w:id="37" w:name="ref-pen2015"/>
    <w:p>
      <w:pPr>
        <w:pStyle w:val="Bibliography"/>
        <w:spacing w:after="120"/>
        <w:ind w:left="720" w:hanging="720"/>
        <w:jc w:val="left"/>
      </w:pPr>
      <w:r>
        <w:t xml:space="preserve">Decreto N° 1246/2015. Convenio Colectivo de Trabajo para los Docentes de las Instituciones Universitarias Nacionales (2015).</w:t>
      </w:r>
    </w:p>
    <w:bookmarkEnd w:id="37"/>
    <w:bookmarkStart w:id="38" w:name="ref-ministerio1995"/>
    <w:p>
      <w:pPr>
        <w:pStyle w:val="Bibliography"/>
        <w:spacing w:after="120"/>
        <w:ind w:left="720" w:hanging="720"/>
        <w:jc w:val="left"/>
      </w:pPr>
      <w:r>
        <w:t xml:space="preserve">Ley N° 24.521 de Educación Superior (1995).</w:t>
      </w:r>
    </w:p>
    <w:bookmarkEnd w:id="38"/>
    <w:bookmarkStart w:id="39"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39"/>
    <w:bookmarkStart w:id="40"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40"/>
    <w:bookmarkStart w:id="42"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1">
        <w:r>
          <w:rPr>
            <w:rStyle w:val="Hyperlink"/>
          </w:rPr>
          <w:t xml:space="preserve">https://medisur.sld.cu/index.php/medisur/article/view/2749</w:t>
        </w:r>
      </w:hyperlink>
    </w:p>
    <w:bookmarkEnd w:id="42"/>
    <w:bookmarkStart w:id="43"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3"/>
    <w:bookmarkStart w:id="4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4"/>
    <w:bookmarkStart w:id="4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45">
        <w:r>
          <w:rPr>
            <w:rStyle w:val="Hyperlink"/>
          </w:rPr>
          <w:t xml:space="preserve">https://dialnet.unirioja.es/descarga/articulo/7242790.pdf</w:t>
        </w:r>
      </w:hyperlink>
    </w:p>
    <w:bookmarkEnd w:id="46"/>
    <w:bookmarkStart w:id="47"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47"/>
    <w:bookmarkStart w:id="48"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48"/>
    <w:bookmarkStart w:id="49"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49"/>
    <w:bookmarkEnd w:id="50"/>
    <w:bookmarkEnd w:id="51"/>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45" Type="http://schemas.openxmlformats.org/officeDocument/2006/relationships/hyperlink" Target="https://dialnet.unirioja.es/descarga/articulo/7242790.pdf" TargetMode="External"/><Relationship Id="rId41"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dialnet.unirioja.es/descarga/articulo/7242790.pdf" TargetMode="External"/><Relationship Id="rId41"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2026-09-28T19:36:59Z</dcterms:created>
  <dcterms:modified xsi:type="dcterms:W3CDTF">2026-09-28T19:36:59Z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