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1. Primera parte de la estructura del Proyecto de investigación de TFG</w:t>
      </w:r>
      <w:r>
        <w:tab/>
      </w:r>
      <w:r>
        <w:rPr>
          <w:rFonts w:ascii="Arial" w:hAnsi="Arial"/>
          <w:sz w:val="22"/>
        </w:rPr>
        <w:t>1</w:t>
      </w:r>
    </w:p>
    <w:p>
      <w:pPr>
        <w:pStyle w:val="TOC1"/>
        <w:tabs>
          <w:tab w:val="right" w:leader="dot" w:pos="9026"/>
        </w:tabs>
        <w:ind w:left="0"/>
        <w:spacing w:after="60"/>
      </w:pPr>
      <w:r>
        <w:rPr>
          <w:rFonts w:ascii="Arial" w:hAnsi="Arial"/>
          <w:sz w:val="22"/>
        </w:rPr>
        <w:t>1.1 Tema de Investigación</w:t>
      </w:r>
      <w:r>
        <w:tab/>
      </w:r>
      <w:r>
        <w:rPr>
          <w:rFonts w:ascii="Arial" w:hAnsi="Arial"/>
          <w:sz w:val="22"/>
        </w:rPr>
        <w:t>1</w:t>
      </w:r>
    </w:p>
    <w:p>
      <w:pPr>
        <w:pStyle w:val="TOC1"/>
        <w:tabs>
          <w:tab w:val="right" w:leader="dot" w:pos="9026"/>
        </w:tabs>
        <w:ind w:left="0"/>
        <w:spacing w:after="60"/>
      </w:pPr>
      <w:r>
        <w:rPr>
          <w:rFonts w:ascii="Arial" w:hAnsi="Arial"/>
          <w:sz w:val="22"/>
        </w:rPr>
        <w:t>1.1.1 Identificación del Tema y Encuadre en el Modelo de Francisco Longo</w:t>
      </w:r>
      <w:r>
        <w:tab/>
      </w:r>
      <w:r>
        <w:rPr>
          <w:rFonts w:ascii="Arial" w:hAnsi="Arial"/>
          <w:sz w:val="22"/>
        </w:rPr>
        <w:t>1</w:t>
      </w:r>
    </w:p>
    <w:p>
      <w:pPr>
        <w:pStyle w:val="TOC1"/>
        <w:tabs>
          <w:tab w:val="right" w:leader="dot" w:pos="9026"/>
        </w:tabs>
        <w:ind w:left="0"/>
        <w:spacing w:after="60"/>
      </w:pPr>
      <w:r>
        <w:rPr>
          <w:rFonts w:ascii="Arial" w:hAnsi="Arial"/>
          <w:sz w:val="22"/>
        </w:rPr>
        <w:t>1.1.2 Descripción Contextual Socioeconómica, Histórica e Institucional</w:t>
      </w:r>
      <w:r>
        <w:tab/>
      </w:r>
      <w:r>
        <w:rPr>
          <w:rFonts w:ascii="Arial" w:hAnsi="Arial"/>
          <w:sz w:val="22"/>
        </w:rPr>
        <w:t>2</w:t>
      </w:r>
    </w:p>
    <w:p>
      <w:pPr>
        <w:pStyle w:val="TOC1"/>
        <w:tabs>
          <w:tab w:val="right" w:leader="dot" w:pos="9026"/>
        </w:tabs>
        <w:ind w:left="0"/>
        <w:spacing w:after="60"/>
      </w:pPr>
      <w:r>
        <w:rPr>
          <w:rFonts w:ascii="Arial" w:hAnsi="Arial"/>
          <w:sz w:val="22"/>
        </w:rPr>
        <w:t>1.2 Delimitación del Objeto Problema</w:t>
      </w:r>
      <w:r>
        <w:tab/>
      </w:r>
      <w:r>
        <w:rPr>
          <w:rFonts w:ascii="Arial" w:hAnsi="Arial"/>
          <w:sz w:val="22"/>
        </w:rPr>
        <w:t>4</w:t>
      </w:r>
    </w:p>
    <w:p>
      <w:pPr>
        <w:pStyle w:val="TOC1"/>
        <w:tabs>
          <w:tab w:val="right" w:leader="dot" w:pos="9026"/>
        </w:tabs>
        <w:ind w:left="0"/>
        <w:spacing w:after="60"/>
      </w:pPr>
      <w:r>
        <w:rPr>
          <w:rFonts w:ascii="Arial" w:hAnsi="Arial"/>
          <w:sz w:val="22"/>
        </w:rPr>
        <w:t>1.2.1 Problematización y Construcción del Objeto de Estudio</w:t>
      </w:r>
      <w:r>
        <w:tab/>
      </w:r>
      <w:r>
        <w:rPr>
          <w:rFonts w:ascii="Arial" w:hAnsi="Arial"/>
          <w:sz w:val="22"/>
        </w:rPr>
        <w:t>4</w:t>
      </w:r>
    </w:p>
    <w:p>
      <w:pPr>
        <w:pStyle w:val="TOC1"/>
        <w:tabs>
          <w:tab w:val="right" w:leader="dot" w:pos="9026"/>
        </w:tabs>
        <w:ind w:left="0"/>
        <w:spacing w:after="60"/>
      </w:pPr>
      <w:r>
        <w:rPr>
          <w:rFonts w:ascii="Arial" w:hAnsi="Arial"/>
          <w:sz w:val="22"/>
        </w:rPr>
        <w:t>1.2.2 Desglose de las Cuatro (4) Delimitaciones Metodológicas</w:t>
      </w:r>
      <w:r>
        <w:tab/>
      </w:r>
      <w:r>
        <w:rPr>
          <w:rFonts w:ascii="Arial" w:hAnsi="Arial"/>
          <w:sz w:val="22"/>
        </w:rPr>
        <w:t>5</w:t>
      </w:r>
    </w:p>
    <w:p>
      <w:pPr>
        <w:pStyle w:val="TOC1"/>
        <w:tabs>
          <w:tab w:val="right" w:leader="dot" w:pos="9026"/>
        </w:tabs>
        <w:ind w:left="0"/>
        <w:spacing w:after="60"/>
      </w:pPr>
      <w:r>
        <w:rPr>
          <w:rFonts w:ascii="Arial" w:hAnsi="Arial"/>
          <w:sz w:val="22"/>
        </w:rPr>
        <w:t>1.2.3 Operacionalización de las Dimensiones de Factibilidad</w:t>
      </w:r>
      <w:r>
        <w:tab/>
      </w:r>
      <w:r>
        <w:rPr>
          <w:rFonts w:ascii="Arial" w:hAnsi="Arial"/>
          <w:sz w:val="22"/>
        </w:rPr>
        <w:t>5</w:t>
      </w:r>
    </w:p>
    <w:p>
      <w:pPr>
        <w:pStyle w:val="TOC1"/>
        <w:tabs>
          <w:tab w:val="right" w:leader="dot" w:pos="9026"/>
        </w:tabs>
        <w:ind w:left="0"/>
        <w:spacing w:after="60"/>
      </w:pPr>
      <w:r>
        <w:rPr>
          <w:rFonts w:ascii="Arial" w:hAnsi="Arial"/>
          <w:sz w:val="22"/>
        </w:rPr>
        <w:t>1.2.3.1 Definición Conceptual y Operativa de Factibilidad</w:t>
      </w:r>
      <w:r>
        <w:tab/>
      </w:r>
      <w:r>
        <w:rPr>
          <w:rFonts w:ascii="Arial" w:hAnsi="Arial"/>
          <w:sz w:val="22"/>
        </w:rPr>
        <w:t>5</w:t>
      </w:r>
    </w:p>
    <w:p>
      <w:pPr>
        <w:pStyle w:val="TOC1"/>
        <w:tabs>
          <w:tab w:val="right" w:leader="dot" w:pos="9026"/>
        </w:tabs>
        <w:ind w:left="0"/>
        <w:spacing w:after="60"/>
      </w:pPr>
      <w:r>
        <w:rPr>
          <w:rFonts w:ascii="Arial" w:hAnsi="Arial"/>
          <w:sz w:val="22"/>
        </w:rPr>
        <w:t>1.2.3.2 Dimensiones de Observación y Fuentes Empíricas</w:t>
      </w:r>
      <w:r>
        <w:tab/>
      </w:r>
      <w:r>
        <w:rPr>
          <w:rFonts w:ascii="Arial" w:hAnsi="Arial"/>
          <w:sz w:val="22"/>
        </w:rPr>
        <w:t>6</w:t>
      </w:r>
    </w:p>
    <w:p>
      <w:pPr>
        <w:pStyle w:val="TOC1"/>
        <w:tabs>
          <w:tab w:val="right" w:leader="dot" w:pos="9026"/>
        </w:tabs>
        <w:ind w:left="0"/>
        <w:spacing w:after="60"/>
      </w:pPr>
      <w:r>
        <w:rPr>
          <w:rFonts w:ascii="Arial" w:hAnsi="Arial"/>
          <w:sz w:val="22"/>
        </w:rPr>
        <w:t>1.2.3.3 Criterios Cualitativos para la Interpretación de Resultados</w:t>
      </w:r>
      <w:r>
        <w:tab/>
      </w:r>
      <w:r>
        <w:rPr>
          <w:rFonts w:ascii="Arial" w:hAnsi="Arial"/>
          <w:sz w:val="22"/>
        </w:rPr>
        <w:t>7</w:t>
      </w:r>
    </w:p>
    <w:p>
      <w:pPr>
        <w:pStyle w:val="TOC1"/>
        <w:tabs>
          <w:tab w:val="right" w:leader="dot" w:pos="9026"/>
        </w:tabs>
        <w:ind w:left="0"/>
        <w:spacing w:after="60"/>
      </w:pPr>
      <w:r>
        <w:rPr>
          <w:rFonts w:ascii="Arial" w:hAnsi="Arial"/>
          <w:sz w:val="22"/>
        </w:rPr>
        <w:t>1.2.4 Pregunta General de Investigación</w:t>
      </w:r>
      <w:r>
        <w:tab/>
      </w:r>
      <w:r>
        <w:rPr>
          <w:rFonts w:ascii="Arial" w:hAnsi="Arial"/>
          <w:sz w:val="22"/>
        </w:rPr>
        <w:t>7</w:t>
      </w:r>
    </w:p>
    <w:p>
      <w:pPr>
        <w:pStyle w:val="TOC1"/>
        <w:tabs>
          <w:tab w:val="right" w:leader="dot" w:pos="9026"/>
        </w:tabs>
        <w:ind w:left="0"/>
        <w:spacing w:after="60"/>
      </w:pPr>
      <w:r>
        <w:rPr>
          <w:rFonts w:ascii="Arial" w:hAnsi="Arial"/>
          <w:sz w:val="22"/>
        </w:rPr>
        <w:t>1.3 Justificación y Relevancia de la Investigación</w:t>
      </w:r>
      <w:r>
        <w:tab/>
      </w:r>
      <w:r>
        <w:rPr>
          <w:rFonts w:ascii="Arial" w:hAnsi="Arial"/>
          <w:sz w:val="22"/>
        </w:rPr>
        <w:t>8</w:t>
      </w:r>
    </w:p>
    <w:p>
      <w:pPr>
        <w:pStyle w:val="TOC1"/>
        <w:tabs>
          <w:tab w:val="right" w:leader="dot" w:pos="9026"/>
        </w:tabs>
        <w:ind w:left="0"/>
        <w:spacing w:after="60"/>
      </w:pPr>
      <w:r>
        <w:rPr>
          <w:rFonts w:ascii="Arial" w:hAnsi="Arial"/>
          <w:sz w:val="22"/>
        </w:rPr>
        <w:t>1.3.1 Plano Cognitivo y Disciplinar</w:t>
      </w:r>
      <w:r>
        <w:tab/>
      </w:r>
      <w:r>
        <w:rPr>
          <w:rFonts w:ascii="Arial" w:hAnsi="Arial"/>
          <w:sz w:val="22"/>
        </w:rPr>
        <w:t>8</w:t>
      </w:r>
    </w:p>
    <w:p>
      <w:pPr>
        <w:pStyle w:val="TOC1"/>
        <w:tabs>
          <w:tab w:val="right" w:leader="dot" w:pos="9026"/>
        </w:tabs>
        <w:ind w:left="0"/>
        <w:spacing w:after="60"/>
      </w:pPr>
      <w:r>
        <w:rPr>
          <w:rFonts w:ascii="Arial" w:hAnsi="Arial"/>
          <w:sz w:val="22"/>
        </w:rPr>
        <w:t>1.3.2 Plano Social e Institucional</w:t>
      </w:r>
      <w:r>
        <w:tab/>
      </w:r>
      <w:r>
        <w:rPr>
          <w:rFonts w:ascii="Arial" w:hAnsi="Arial"/>
          <w:sz w:val="22"/>
        </w:rPr>
        <w:t>8</w:t>
      </w:r>
    </w:p>
    <w:p>
      <w:pPr>
        <w:pStyle w:val="TOC1"/>
        <w:tabs>
          <w:tab w:val="right" w:leader="dot" w:pos="9026"/>
        </w:tabs>
        <w:ind w:left="0"/>
        <w:spacing w:after="60"/>
      </w:pPr>
      <w:r>
        <w:rPr>
          <w:rFonts w:ascii="Arial" w:hAnsi="Arial"/>
          <w:sz w:val="22"/>
        </w:rPr>
        <w:t>1.3.3 Plano Personal y Profesional</w:t>
      </w:r>
      <w:r>
        <w:tab/>
      </w:r>
      <w:r>
        <w:rPr>
          <w:rFonts w:ascii="Arial" w:hAnsi="Arial"/>
          <w:sz w:val="22"/>
        </w:rPr>
        <w:t>8</w:t>
      </w:r>
    </w:p>
    <w:p>
      <w:pPr>
        <w:pStyle w:val="TOC1"/>
        <w:tabs>
          <w:tab w:val="right" w:leader="dot" w:pos="9026"/>
        </w:tabs>
        <w:ind w:left="0"/>
        <w:spacing w:after="60"/>
      </w:pPr>
      <w:r>
        <w:rPr>
          <w:rFonts w:ascii="Arial" w:hAnsi="Arial"/>
          <w:sz w:val="22"/>
        </w:rPr>
        <w:t>1.4 Definición de Objetivos del TFG</w:t>
      </w:r>
      <w:r>
        <w:tab/>
      </w:r>
      <w:r>
        <w:rPr>
          <w:rFonts w:ascii="Arial" w:hAnsi="Arial"/>
          <w:sz w:val="22"/>
        </w:rPr>
        <w:t>9</w:t>
      </w:r>
    </w:p>
    <w:p>
      <w:pPr>
        <w:pStyle w:val="TOC1"/>
        <w:tabs>
          <w:tab w:val="right" w:leader="dot" w:pos="9026"/>
        </w:tabs>
        <w:ind w:left="0"/>
        <w:spacing w:after="60"/>
      </w:pPr>
      <w:r>
        <w:rPr>
          <w:rFonts w:ascii="Arial" w:hAnsi="Arial"/>
          <w:sz w:val="22"/>
        </w:rPr>
        <w:t>1.4.1 Objetivo General</w:t>
      </w:r>
      <w:r>
        <w:tab/>
      </w:r>
      <w:r>
        <w:rPr>
          <w:rFonts w:ascii="Arial" w:hAnsi="Arial"/>
          <w:sz w:val="22"/>
        </w:rPr>
        <w:t>9</w:t>
      </w:r>
    </w:p>
    <w:p>
      <w:pPr>
        <w:pStyle w:val="TOC1"/>
        <w:tabs>
          <w:tab w:val="right" w:leader="dot" w:pos="9026"/>
        </w:tabs>
        <w:ind w:left="0"/>
        <w:spacing w:after="60"/>
      </w:pPr>
      <w:r>
        <w:rPr>
          <w:rFonts w:ascii="Arial" w:hAnsi="Arial"/>
          <w:sz w:val="22"/>
        </w:rPr>
        <w:t>1.4.2 Objetivos Específicos</w:t>
      </w:r>
      <w:r>
        <w:tab/>
      </w:r>
      <w:r>
        <w:rPr>
          <w:rFonts w:ascii="Arial" w:hAnsi="Arial"/>
          <w:sz w:val="22"/>
        </w:rPr>
        <w:t>9</w:t>
      </w:r>
    </w:p>
    <w:p>
      <w:pPr>
        <w:pStyle w:val="TOC1"/>
        <w:tabs>
          <w:tab w:val="right" w:leader="dot" w:pos="9026"/>
        </w:tabs>
        <w:ind w:left="0"/>
        <w:spacing w:after="60"/>
      </w:pPr>
      <w:r>
        <w:rPr>
          <w:rFonts w:ascii="Arial" w:hAnsi="Arial"/>
          <w:sz w:val="22"/>
        </w:rPr>
        <w:t>1.4.3 Matriz de Consistencia Metodológica y Articulación con Longo (2006)</w:t>
      </w:r>
      <w:r>
        <w:tab/>
      </w:r>
      <w:r>
        <w:rPr>
          <w:rFonts w:ascii="Arial" w:hAnsi="Arial"/>
          <w:sz w:val="22"/>
        </w:rPr>
        <w:t>9</w:t>
      </w:r>
    </w:p>
    <w:p>
      <w:pPr>
        <w:pStyle w:val="TOC1"/>
        <w:tabs>
          <w:tab w:val="right" w:leader="dot" w:pos="9026"/>
        </w:tabs>
        <w:ind w:left="0"/>
        <w:spacing w:after="60"/>
      </w:pPr>
      <w:r>
        <w:rPr>
          <w:rFonts w:ascii="Arial" w:hAnsi="Arial"/>
          <w:sz w:val="22"/>
        </w:rPr>
        <w:t>2. Segunda parte de la estructura del Proyecto de investigación de TFG</w:t>
      </w:r>
      <w:r>
        <w:tab/>
      </w:r>
      <w:r>
        <w:rPr>
          <w:rFonts w:ascii="Arial" w:hAnsi="Arial"/>
          <w:sz w:val="22"/>
        </w:rPr>
        <w:t>11</w:t>
      </w:r>
    </w:p>
    <w:p>
      <w:pPr>
        <w:pStyle w:val="TOC1"/>
        <w:tabs>
          <w:tab w:val="right" w:leader="dot" w:pos="9026"/>
        </w:tabs>
        <w:ind w:left="0"/>
        <w:spacing w:after="60"/>
      </w:pPr>
      <w:r>
        <w:rPr>
          <w:rFonts w:ascii="Arial" w:hAnsi="Arial"/>
          <w:sz w:val="22"/>
        </w:rPr>
        <w:t>2.1 Marco Teórico: Posicionamiento Teórico y Conceptos Centrales</w:t>
      </w:r>
      <w:r>
        <w:tab/>
      </w:r>
      <w:r>
        <w:rPr>
          <w:rFonts w:ascii="Arial" w:hAnsi="Arial"/>
          <w:sz w:val="22"/>
        </w:rPr>
        <w:t>11</w:t>
      </w:r>
    </w:p>
    <w:p>
      <w:pPr>
        <w:pStyle w:val="TOC1"/>
        <w:tabs>
          <w:tab w:val="right" w:leader="dot" w:pos="9026"/>
        </w:tabs>
        <w:ind w:left="0"/>
        <w:spacing w:after="60"/>
      </w:pPr>
      <w:r>
        <w:rPr>
          <w:rFonts w:ascii="Arial" w:hAnsi="Arial"/>
          <w:sz w:val="22"/>
        </w:rPr>
        <w:t>2.2 Antecedentes: Estado del Arte del Tema</w:t>
      </w:r>
      <w:r>
        <w:tab/>
      </w:r>
      <w:r>
        <w:rPr>
          <w:rFonts w:ascii="Arial" w:hAnsi="Arial"/>
          <w:sz w:val="22"/>
        </w:rPr>
        <w:t>11</w:t>
      </w:r>
    </w:p>
    <w:p>
      <w:pPr>
        <w:pStyle w:val="TOC1"/>
        <w:tabs>
          <w:tab w:val="right" w:leader="dot" w:pos="9026"/>
        </w:tabs>
        <w:ind w:left="0"/>
        <w:spacing w:after="60"/>
      </w:pPr>
      <w:r>
        <w:rPr>
          <w:rFonts w:ascii="Arial" w:hAnsi="Arial"/>
          <w:sz w:val="22"/>
        </w:rPr>
        <w:t>Referencias</w:t>
      </w:r>
      <w:r>
        <w:tab/>
      </w:r>
      <w:r>
        <w:rPr>
          <w:rFonts w:ascii="Arial" w:hAnsi="Arial"/>
          <w:sz w:val="22"/>
        </w:rPr>
        <w:t>12</w:t>
      </w:r>
    </w:p>
    <w:p>
      <w:pPr>
        <w:pStyle w:val="TOC1"/>
        <w:tabs>
          <w:tab w:val="right" w:leader="dot" w:pos="9026"/>
        </w:tabs>
        <w:ind w:left="0"/>
        <w:spacing w:after="60"/>
      </w:pPr>
      <w:r>
        <w:rPr>
          <w:rFonts w:ascii="Arial" w:hAnsi="Arial"/>
          <w:sz w:val="22"/>
        </w:rPr>
        <w:t>Bibliografía</w:t>
      </w:r>
      <w:r>
        <w:tab/>
      </w:r>
      <w:r>
        <w:rPr>
          <w:rFonts w:ascii="Arial" w:hAnsi="Arial"/>
          <w:sz w:val="22"/>
        </w:rPr>
        <w:t>12</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1. 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1.1 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1.1.1 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3733800" cy="2893695"/>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3733800" cy="2893695"/>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1.1.2 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0920/2019 y sus modificatorias)</w:t>
      </w:r>
      <w:r>
        <w:t xml:space="preserve"> </w:t>
      </w:r>
      <w:r>
        <w:t xml:space="preserve">(Universidad Nacional del Comahue, 2019)</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6" w:name="delimitación-del-objeto-problema"/>
    <w:p>
      <w:pPr>
        <w:pStyle w:val="Heading2"/>
        <w:keepNext/>
        <w:spacing w:before="200" w:after="80" w:line="300" w:lineRule="auto"/>
      </w:pPr>
      <w:r>
        <w:rPr>
          <w:rFonts w:ascii="Arial" w:hAnsi="Arial"/>
          <w:b/>
          <w:sz w:val="24"/>
        </w:rPr>
        <w:t xml:space="preserve">1.2 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1.2.1 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del Director del Departamento en los informes anuales del legajo académico (Art. 74), la singularidad y valor añadido de este proyecto radica en analizar la factibilidad de un circuito de retroalimentación 360° estrictamente formativo, confidencial e independiente del legajo sumativo.</w:t>
      </w:r>
    </w:p>
    <w:p>
      <w:pPr>
        <w:pStyle w:val="BodyText"/>
      </w:pPr>
      <w:r>
        <w:t xml:space="preserve">Dicho dispositivo busca articular los insumos de los claustros (docentes y estudiantes) y de la Dirección del Departamento —elegida por quienes integran el departamento por un período de dos años (Art. 14)— para alimentar de forma directa el Programa Anual de Formación de Recursos Humanos del Departamento (Art. 76) y el perfeccionamiento continuo de la Carrera Docente (Art. 65). Por ello, la viabilidad de la propuesta descansa en la gobernanza universitaria: un espacio colegiado donde las políticas de gestión de personas se construyen sobre</w:t>
      </w:r>
      <w:r>
        <w:t xml:space="preserve"> </w:t>
      </w:r>
      <w:r>
        <w:rPr>
          <w:i/>
          <w:iCs/>
        </w:rPr>
        <w:t xml:space="preserve">variables de control compartido</w:t>
      </w:r>
      <w:r>
        <w:t xml:space="preserve"> </w:t>
      </w:r>
      <w:r>
        <w:t xml:space="preserve">(Longo, 2006; Matus, 1993)</w:t>
      </w:r>
      <w:r>
        <w:t xml:space="preserve">.</w:t>
      </w:r>
    </w:p>
    <w:bookmarkEnd w:id="19"/>
    <w:bookmarkStart w:id="20" w:name="Xd94378588030de20cc99227353d9ba92b45f085"/>
    <w:p>
      <w:pPr>
        <w:pStyle w:val="Heading3"/>
        <w:keepNext/>
        <w:spacing w:before="160" w:after="40" w:line="300" w:lineRule="auto"/>
      </w:pPr>
      <w:r>
        <w:rPr>
          <w:rFonts w:ascii="Arial" w:hAnsi="Arial"/>
          <w:b/>
          <w:i/>
          <w:sz w:val="24"/>
        </w:rPr>
        <w:t xml:space="preserve">1.2.2 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 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0"/>
    <w:bookmarkStart w:id="24" w:name="Xeb201754d94bbce47beccc43470bd16217c3db3"/>
    <w:p>
      <w:pPr>
        <w:pStyle w:val="Heading3"/>
        <w:keepNext/>
        <w:spacing w:before="160" w:after="40" w:line="300" w:lineRule="auto"/>
      </w:pPr>
      <w:r>
        <w:rPr>
          <w:rFonts w:ascii="Arial" w:hAnsi="Arial"/>
          <w:b/>
          <w:i/>
          <w:sz w:val="24"/>
        </w:rPr>
        <w:t xml:space="preserve">1.2.3 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1" w:name="Xcdb87a96a95f00839381972ad43f2df4cfe9f8a"/>
    <w:p>
      <w:pPr>
        <w:pStyle w:val="Heading4"/>
      </w:pPr>
      <w:r>
        <w:t xml:space="preserve">1.2.3.1 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cuatro dimensiones analíticas interrelacionadas:</w:t>
      </w:r>
    </w:p>
    <w:p>
      <w:pPr>
        <w:pStyle w:val="Compact"/>
        <w:numPr>
          <w:ilvl w:val="0"/>
          <w:numId w:val="1003"/>
        </w:numPr>
      </w:pPr>
      <w:r>
        <w:rPr>
          <w:b/>
          <w:bCs/>
        </w:rPr>
        <w:t xml:space="preserve">Factibilidad Organizacional y Cultural:</w:t>
      </w:r>
      <w:r>
        <w:t xml:space="preserve"> </w:t>
      </w:r>
      <w:r>
        <w:t xml:space="preserve">Nivel de aceptación, confianza institucional y legitimidad percibida por parte de docentes, estudiantes y autoridades para participar en procesos de autoevaluación, coevaluación entre pares y retroalimentación multidireccional, sin temor a consecuencias punitivas</w:t>
      </w:r>
      <w:r>
        <w:t xml:space="preserve"> </w:t>
      </w:r>
      <w:r>
        <w:t xml:space="preserve">(Lepsinger &amp; Lucia, 2009; Longo, 2006)</w:t>
      </w:r>
      <w:r>
        <w:t xml:space="preserve">.</w:t>
      </w:r>
    </w:p>
    <w:p>
      <w:pPr>
        <w:pStyle w:val="Compact"/>
        <w:numPr>
          <w:ilvl w:val="0"/>
          <w:numId w:val="1003"/>
        </w:numPr>
      </w:pPr>
      <w:r>
        <w:rPr>
          <w:b/>
          <w:bCs/>
        </w:rPr>
        <w:t xml:space="preserve">Factibilidad Técnica y Operativa:</w:t>
      </w:r>
      <w:r>
        <w:t xml:space="preserve"> </w:t>
      </w:r>
      <w:r>
        <w:t xml:space="preserve">Existencia de capacidades de gestión, recursos tecnológicos (como las plataformas Moodle y SIU-Guaraní) y circuitos administrativos adecuados en el Departamento de Administración Pública para diseñar, aplicar, anonimizar y procesar los instrumentos de retroalimentación de manera ágil y confidencial</w:t>
      </w:r>
      <w:r>
        <w:t xml:space="preserve"> </w:t>
      </w:r>
      <w:r>
        <w:t xml:space="preserve">(Obando Freire et al., 2014)</w:t>
      </w:r>
      <w:r>
        <w:t xml:space="preserve">.</w:t>
      </w:r>
    </w:p>
    <w:p>
      <w:pPr>
        <w:pStyle w:val="Compact"/>
        <w:numPr>
          <w:ilvl w:val="0"/>
          <w:numId w:val="1003"/>
        </w:numPr>
      </w:pPr>
      <w:r>
        <w:rPr>
          <w:b/>
          <w:bCs/>
        </w:rPr>
        <w:t xml:space="preserve">Factibilidad Normativa y Estatutaria:</w:t>
      </w:r>
      <w:r>
        <w:t xml:space="preserve"> </w:t>
      </w:r>
      <w:r>
        <w:t xml:space="preserve">Grado de compatibilidad y armonización del circuito formativo 360° con la normativa universitaria vigente (Estatuto UNCo, Reglamento de Carrera Docente Ord. N° 0920/2019 y Convenio Colectivo de Trabajo Docente Dec. N° 1246/2015), garantizando su carácter complementario e independiente de las evaluaciones sumativas de permanencia</w:t>
      </w:r>
      <w:r>
        <w:t xml:space="preserve"> </w:t>
      </w:r>
      <w:r>
        <w:t xml:space="preserve">(Decreto N° 1246/2015. Convenio Colectivo de Trabajo para los Docentes de las Instituciones Universitarias Nacionales, 2015; Universidad Nacional del Comahue, 2025)</w:t>
      </w:r>
      <w:r>
        <w:t xml:space="preserve">.</w:t>
      </w:r>
    </w:p>
    <w:p>
      <w:pPr>
        <w:pStyle w:val="Compact"/>
        <w:numPr>
          <w:ilvl w:val="0"/>
          <w:numId w:val="1003"/>
        </w:numPr>
      </w:pPr>
      <w:r>
        <w:rPr>
          <w:b/>
          <w:bCs/>
        </w:rPr>
        <w:t xml:space="preserve">Factibilidad de Gobernanza y Diálogo Institucional:</w:t>
      </w:r>
      <w:r>
        <w:t xml:space="preserve"> </w:t>
      </w:r>
      <w:r>
        <w:t xml:space="preserve">Posibilidad de construir acuerdos en el seno del Consejo Departamental, instancias de cogobierno y representaciones gremiales docentes para consensuar criterios, resguardos de confidencialidad y el uso pedagógico de los resultados</w:t>
      </w:r>
      <w:r>
        <w:t xml:space="preserve"> </w:t>
      </w:r>
      <w:r>
        <w:t xml:space="preserve">(Matus, 1993)</w:t>
      </w:r>
      <w:r>
        <w:t xml:space="preserve">.</w:t>
      </w:r>
    </w:p>
    <w:bookmarkEnd w:id="21"/>
    <w:bookmarkStart w:id="22" w:name="X5965ca74dc7a4b9398fc285497af16a05ed033f"/>
    <w:p>
      <w:pPr>
        <w:pStyle w:val="Heading4"/>
      </w:pPr>
      <w:r>
        <w:t xml:space="preserve">1.2.3.2 Dimensiones de Observación y Fuentes Empíricas</w:t>
      </w:r>
    </w:p>
    <w:p>
      <w:pPr>
        <w:pStyle w:val="FirstParagraph"/>
      </w:pPr>
      <w:r>
        <w:t xml:space="preserve">Para contrastar estas dimensiones en el trabajo de campo, se definen indicadores cualitativos y fuentes de recolección específicas:</w:t>
      </w:r>
    </w:p>
    <w:p>
      <w:pPr>
        <w:pStyle w:val="Compact"/>
        <w:numPr>
          <w:ilvl w:val="0"/>
          <w:numId w:val="1004"/>
        </w:numPr>
      </w:pPr>
      <w:r>
        <w:rPr>
          <w:b/>
          <w:bCs/>
        </w:rPr>
        <w:t xml:space="preserve">Dimensión Organizacional y Cultural:</w:t>
      </w:r>
      <w:r>
        <w:t xml:space="preserve"> </w:t>
      </w:r>
      <w:r>
        <w:t xml:space="preserve">Se indagará mediante cuestionarios y entrevistas semiestructuradas a docentes y estudiantes. Los indicadores clave incluyen: disposición al diálogo reflexivo sobre la enseñanza, grado de confianza en el anonimato de las respuestas, temores expresados frente a la coevaluación y expectativas de mejora pedagógica.</w:t>
      </w:r>
    </w:p>
    <w:p>
      <w:pPr>
        <w:pStyle w:val="Compact"/>
        <w:numPr>
          <w:ilvl w:val="0"/>
          <w:numId w:val="1004"/>
        </w:numPr>
      </w:pPr>
      <w:r>
        <w:rPr>
          <w:b/>
          <w:bCs/>
        </w:rPr>
        <w:t xml:space="preserve">Dimensión Técnica y Operativa:</w:t>
      </w:r>
      <w:r>
        <w:t xml:space="preserve"> </w:t>
      </w:r>
      <w:r>
        <w:t xml:space="preserve">Se analizará a través de entrevistas a informantes clave del área académica y de soporte técnico del CURZAS, así como el relevamiento de plataformas informáticas disponibles. Los indicadores abarcan: facilidad de acceso, carga operativa requerida para responder y capacidad de generar reportes diagnósticos sintéticos.</w:t>
      </w:r>
    </w:p>
    <w:p>
      <w:pPr>
        <w:pStyle w:val="Compact"/>
        <w:numPr>
          <w:ilvl w:val="0"/>
          <w:numId w:val="1004"/>
        </w:numPr>
      </w:pPr>
      <w:r>
        <w:rPr>
          <w:b/>
          <w:bCs/>
        </w:rPr>
        <w:t xml:space="preserve">Dimensión Normativa y Estatutaria:</w:t>
      </w:r>
      <w:r>
        <w:t xml:space="preserve"> </w:t>
      </w:r>
      <w:r>
        <w:t xml:space="preserve">Se contrastará mediante análisis documental de las ordenanzas de carrera docente y resoluciones paritarias. Los indicadores analizan: margen normativo para incorporar instancias formativas, protección de datos personales y salvaguarda de derechos adquiridos.</w:t>
      </w:r>
    </w:p>
    <w:p>
      <w:pPr>
        <w:pStyle w:val="Compact"/>
        <w:numPr>
          <w:ilvl w:val="0"/>
          <w:numId w:val="1004"/>
        </w:numPr>
      </w:pPr>
      <w:r>
        <w:rPr>
          <w:b/>
          <w:bCs/>
        </w:rPr>
        <w:t xml:space="preserve">Dimensión de Gobernanza y Diálogo Institucional:</w:t>
      </w:r>
      <w:r>
        <w:t xml:space="preserve"> </w:t>
      </w:r>
      <w:r>
        <w:t xml:space="preserve">Se explorará mediante entrevistas a autoridades departamentales y delegados gremiales. Los indicadores incluyen: consensos sobre el uso de la información, mecanismos de consulta previa y articulación de los hallazgos con los programas de capacitación docente del Departamento.</w:t>
      </w:r>
    </w:p>
    <w:bookmarkEnd w:id="22"/>
    <w:bookmarkStart w:id="23" w:name="X8f4da2a33d80423d494a47dd434126cfe1b5efc"/>
    <w:p>
      <w:pPr>
        <w:pStyle w:val="Heading4"/>
      </w:pPr>
      <w:r>
        <w:t xml:space="preserve">1.2.3.3 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Los hallazgos del trabajo de campo se clasificarán según tres horizontes orientativos:</w:t>
      </w:r>
    </w:p>
    <w:p>
      <w:pPr>
        <w:pStyle w:val="Compact"/>
        <w:numPr>
          <w:ilvl w:val="0"/>
          <w:numId w:val="1005"/>
        </w:numPr>
      </w:pPr>
      <w:r>
        <w:rPr>
          <w:b/>
          <w:bCs/>
        </w:rPr>
        <w:t xml:space="preserve">Factibilidad Favorable:</w:t>
      </w:r>
      <w:r>
        <w:t xml:space="preserve"> </w:t>
      </w:r>
      <w:r>
        <w:t xml:space="preserve">Cuando los claustros expresan predisposición al modelo, existen plataformas técnicas accesibles, no se identifican barreras estatutarias insalvables y prevalece un clima de confianza para la retroalimentación formativa.</w:t>
      </w:r>
    </w:p>
    <w:p>
      <w:pPr>
        <w:pStyle w:val="Compact"/>
        <w:numPr>
          <w:ilvl w:val="0"/>
          <w:numId w:val="1005"/>
        </w:numPr>
      </w:pPr>
      <w:r>
        <w:rPr>
          <w:b/>
          <w:bCs/>
        </w:rPr>
        <w:t xml:space="preserve">Factibilidad Condicionada:</w:t>
      </w:r>
      <w:r>
        <w:t xml:space="preserve"> </w:t>
      </w:r>
      <w:r>
        <w:t xml:space="preserve">Cuando el modelo es valorado favorablemente en sus fines pero se detectan obstáculos subsanables (por ejemplo, desconfianza sobre la confidencialidad, sobrecarga administrativa o necesidad de acuerdos paritarios específicos que delimiten con precisión el carácter no punitivo del dispositivo).</w:t>
      </w:r>
    </w:p>
    <w:p>
      <w:pPr>
        <w:pStyle w:val="Compact"/>
        <w:numPr>
          <w:ilvl w:val="0"/>
          <w:numId w:val="1005"/>
        </w:numPr>
      </w:pPr>
      <w:r>
        <w:rPr>
          <w:b/>
          <w:bCs/>
        </w:rPr>
        <w:t xml:space="preserve">Baja Factibilidad:</w:t>
      </w:r>
      <w:r>
        <w:t xml:space="preserve"> </w:t>
      </w:r>
      <w:r>
        <w:t xml:space="preserve">Cuando predominan resistencias generalizadas, desconfianza interclaustro profunda o incompatibilidades normativas rígidas que desaconsejan una aplicación generalizada a corto plazo, sugiriendo la necesidad previa de fortalecer la cultura evaluativa institucional.</w:t>
      </w:r>
    </w:p>
    <w:bookmarkEnd w:id="23"/>
    <w:bookmarkEnd w:id="24"/>
    <w:bookmarkStart w:id="25" w:name="pregunta-general-de-investigación"/>
    <w:p>
      <w:pPr>
        <w:pStyle w:val="Heading3"/>
        <w:keepNext/>
        <w:spacing w:before="160" w:after="40" w:line="300" w:lineRule="auto"/>
      </w:pPr>
      <w:r>
        <w:rPr>
          <w:rFonts w:ascii="Arial" w:hAnsi="Arial"/>
          <w:b/>
          <w:i/>
          <w:sz w:val="24"/>
        </w:rPr>
        <w:t xml:space="preserve">1.2.4 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para la implementación de un modelo de retroalimentación multiactoral (360°) en la evaluación del desempeño docente en el Departamento de Administración Pública del CURZAS-UNCo durante el período 2025–2026?</w:t>
      </w:r>
    </w:p>
    <w:bookmarkEnd w:id="25"/>
    <w:bookmarkEnd w:id="26"/>
    <w:bookmarkStart w:id="30" w:name="X681cec084bc0b6c304e32f87344fd4265dfa7e1"/>
    <w:p>
      <w:pPr>
        <w:pStyle w:val="Heading2"/>
        <w:keepNext/>
        <w:spacing w:before="200" w:after="80" w:line="300" w:lineRule="auto"/>
      </w:pPr>
      <w:r>
        <w:rPr>
          <w:rFonts w:ascii="Arial" w:hAnsi="Arial"/>
          <w:b/>
          <w:sz w:val="24"/>
        </w:rPr>
        <w:t xml:space="preserve">1.3 Justificación y Relevancia de la Investigación</w:t>
      </w:r>
    </w:p>
    <w:p>
      <w:pPr>
        <w:pStyle w:val="FirstParagraph"/>
      </w:pPr>
      <w:r>
        <w:t xml:space="preserve">La justificación de la investigación se estructura en tres planos complementarios:</w:t>
      </w:r>
    </w:p>
    <w:bookmarkStart w:id="27" w:name="plano-cognitivo-y-disciplinar"/>
    <w:p>
      <w:pPr>
        <w:pStyle w:val="Heading3"/>
        <w:keepNext/>
        <w:spacing w:before="160" w:after="40" w:line="300" w:lineRule="auto"/>
      </w:pPr>
      <w:r>
        <w:rPr>
          <w:rFonts w:ascii="Arial" w:hAnsi="Arial"/>
          <w:b/>
          <w:i/>
          <w:sz w:val="24"/>
        </w:rPr>
        <w:t xml:space="preserve">1.3.1 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27"/>
    <w:bookmarkStart w:id="28" w:name="plano-social-e-institucional"/>
    <w:p>
      <w:pPr>
        <w:pStyle w:val="Heading3"/>
        <w:keepNext/>
        <w:spacing w:before="160" w:after="40" w:line="300" w:lineRule="auto"/>
      </w:pPr>
      <w:r>
        <w:rPr>
          <w:rFonts w:ascii="Arial" w:hAnsi="Arial"/>
          <w:b/>
          <w:i/>
          <w:sz w:val="24"/>
        </w:rPr>
        <w:t xml:space="preserve">1.3.2 Plano Social e Institucional</w:t>
      </w:r>
    </w:p>
    <w:p>
      <w:pPr>
        <w:pStyle w:val="FirstParagraph"/>
      </w:pPr>
      <w:r>
        <w:t xml:space="preserve">A nivel institucional, el Departamento de Administración Pública del CURZAS se beneficiará de un diagnóstico riguroso sobre las expectativas y percepciones de sus claustros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6"/>
        </w:numPr>
      </w:pPr>
      <w:r>
        <w:rPr>
          <w:i/>
          <w:iCs/>
        </w:rPr>
        <w:t xml:space="preserve">Cuerpo docente:</w:t>
      </w:r>
      <w:r>
        <w:t xml:space="preserve"> </w:t>
      </w:r>
      <w:r>
        <w:t xml:space="preserve">Conocer si la autoevaluación y el intercambio reflexivo entre pares son valorados como un apoyo formativo para la Carrera Docente (Ord. CS N° 0920/2019 y modif.; CCT Docente, Dec. N° 1246/2015), disipando temores sobre el uso de la información.</w:t>
      </w:r>
    </w:p>
    <w:p>
      <w:pPr>
        <w:pStyle w:val="Compact"/>
        <w:numPr>
          <w:ilvl w:val="0"/>
          <w:numId w:val="1006"/>
        </w:numPr>
      </w:pPr>
      <w:r>
        <w:rPr>
          <w:i/>
          <w:iCs/>
        </w:rPr>
        <w:t xml:space="preserve">Claustro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6"/>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28"/>
    <w:bookmarkStart w:id="29" w:name="plano-personal-y-profesional"/>
    <w:p>
      <w:pPr>
        <w:pStyle w:val="Heading3"/>
        <w:keepNext/>
        <w:spacing w:before="160" w:after="40" w:line="300" w:lineRule="auto"/>
      </w:pPr>
      <w:r>
        <w:rPr>
          <w:rFonts w:ascii="Arial" w:hAnsi="Arial"/>
          <w:b/>
          <w:i/>
          <w:sz w:val="24"/>
        </w:rPr>
        <w:t xml:space="preserve">1.3.3 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29"/>
    <w:bookmarkEnd w:id="30"/>
    <w:bookmarkStart w:id="34" w:name="definición-de-objetivos-del-tfg"/>
    <w:p>
      <w:pPr>
        <w:pStyle w:val="Heading2"/>
        <w:keepNext/>
        <w:spacing w:before="200" w:after="80" w:line="300" w:lineRule="auto"/>
      </w:pPr>
      <w:r>
        <w:rPr>
          <w:rFonts w:ascii="Arial" w:hAnsi="Arial"/>
          <w:b/>
          <w:sz w:val="24"/>
        </w:rPr>
        <w:t xml:space="preserve">1.4 Definición de Objetivos del TFG</w:t>
      </w:r>
    </w:p>
    <w:bookmarkStart w:id="31" w:name="objetivo-general"/>
    <w:p>
      <w:pPr>
        <w:pStyle w:val="Heading3"/>
        <w:keepNext/>
        <w:spacing w:before="160" w:after="40" w:line="300" w:lineRule="auto"/>
      </w:pPr>
      <w:r>
        <w:rPr>
          <w:rFonts w:ascii="Arial" w:hAnsi="Arial"/>
          <w:b/>
          <w:i/>
          <w:sz w:val="24"/>
        </w:rPr>
        <w:t xml:space="preserve">1.4.1 Objetivo General</w:t>
      </w:r>
    </w:p>
    <w:p>
      <w:pPr>
        <w:pStyle w:val="Compact"/>
        <w:numPr>
          <w:ilvl w:val="0"/>
          <w:numId w:val="1007"/>
        </w:numPr>
      </w:pPr>
      <w:r>
        <w:t xml:space="preserve">Determinar las condiciones de factibilidad organizacional, técnica, normativa y de gobernanza para la implementación de un modelo de retroalimentación multiactoral (360°) en la evaluación del desempeño docente en el Departamento de Administración Pública del CURZAS-UNCo (2025–2026).</w:t>
      </w:r>
    </w:p>
    <w:bookmarkEnd w:id="31"/>
    <w:bookmarkStart w:id="32" w:name="objetivos-específicos"/>
    <w:p>
      <w:pPr>
        <w:pStyle w:val="Heading3"/>
        <w:keepNext/>
        <w:spacing w:before="160" w:after="40" w:line="300" w:lineRule="auto"/>
      </w:pPr>
      <w:r>
        <w:rPr>
          <w:rFonts w:ascii="Arial" w:hAnsi="Arial"/>
          <w:b/>
          <w:i/>
          <w:sz w:val="24"/>
        </w:rPr>
        <w:t xml:space="preserve">1.4.2 Objetivos Específicos</w:t>
      </w:r>
    </w:p>
    <w:p>
      <w:pPr>
        <w:pStyle w:val="Compact"/>
        <w:numPr>
          <w:ilvl w:val="0"/>
          <w:numId w:val="1008"/>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8"/>
        </w:numPr>
      </w:pPr>
      <w:r>
        <w:t xml:space="preserve">Explorar las percepciones, disposiciones y expectativas de los distintos claustros involucrados (docentes y estudiantes) y de las autoridades departamentales respecto a la retroalimentación multiactoral (360°) y las condiciones de confianza institucional requeridas.</w:t>
      </w:r>
    </w:p>
    <w:p>
      <w:pPr>
        <w:pStyle w:val="Compact"/>
        <w:numPr>
          <w:ilvl w:val="0"/>
          <w:numId w:val="1008"/>
        </w:numPr>
      </w:pPr>
      <w:r>
        <w:t xml:space="preserve">Identificar los condicionantes técnico-organizacionales, normativos y de gobernanza (acuerdos paritarios, normativa vigente de carrera docente y evaluación, confidencialidad y cogobierno) que inciden en la factibilidad del modelo.</w:t>
      </w:r>
    </w:p>
    <w:p>
      <w:pPr>
        <w:pStyle w:val="Compact"/>
        <w:numPr>
          <w:ilvl w:val="0"/>
          <w:numId w:val="1008"/>
        </w:numPr>
      </w:pPr>
      <w:r>
        <w:t xml:space="preserve">Proponer lineamientos orientativos para una eventual implementación de un modelo de retroalimentación multiactoral (360°), en función de las condiciones y límites de factibilidad identificados en la investigación empírica.</w:t>
      </w:r>
    </w:p>
    <w:bookmarkEnd w:id="32"/>
    <w:bookmarkStart w:id="33" w:name="X296c76344d338238a09b1d3109b3b1ec06ec08f"/>
    <w:p>
      <w:pPr>
        <w:pStyle w:val="Heading3"/>
        <w:keepNext/>
        <w:spacing w:before="160" w:after="40" w:line="300" w:lineRule="auto"/>
      </w:pPr>
      <w:r>
        <w:rPr>
          <w:rFonts w:ascii="Arial" w:hAnsi="Arial"/>
          <w:b/>
          <w:i/>
          <w:sz w:val="24"/>
        </w:rPr>
        <w:t xml:space="preserve">1.4.3 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9"/>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9"/>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9"/>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9"/>
        </w:numPr>
      </w:pPr>
      <w:r>
        <w:rPr>
          <w:b/>
          <w:bCs/>
        </w:rPr>
        <w:t xml:space="preserve">Gestión de las Relaciones Humanas y Sociales:</w:t>
      </w:r>
      <w:r>
        <w:t xml:space="preserve"> </w:t>
      </w:r>
      <w:r>
        <w:t xml:space="preserve">indaga el clima laboral, la confianza interclaustros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Claustros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N° 0920/2019 y modificatorias</w:t>
            </w:r>
            <w:r>
              <w:t xml:space="preserve">)</w:t>
            </w:r>
          </w:p>
        </w:tc>
        <w:tc>
          <w:tcPr/>
          <w:p>
            <w:pPr>
              <w:pStyle w:val="Compact"/>
              <w:jc w:val="left"/>
            </w:pPr>
            <w:r>
              <w:t xml:space="preserve">Estatuto UNCo (Ord. N° 0988/2025), Ord. N° 0920/2019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interclaustro</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w:t>
            </w:r>
            <w:r>
              <w:t xml:space="preserve"> </w:t>
            </w:r>
            <w:r>
              <w:t xml:space="preserve">Identificación de condicionantes paritarios, normativos, gremiales y de confidencialidad</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normativa vigente de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3"/>
    <w:bookmarkEnd w:id="34"/>
    <w:bookmarkEnd w:id="35"/>
    <w:bookmarkStart w:id="38" w:name="Xef007dd282ae18f13df7a545a4430773f008bd7"/>
    <w:p>
      <w:pPr>
        <w:pStyle w:val="Heading1"/>
        <w:keepNext/>
        <w:spacing w:before="240" w:after="120" w:line="300" w:lineRule="auto"/>
      </w:pPr>
      <w:r>
        <w:rPr>
          <w:rFonts w:ascii="Arial" w:hAnsi="Arial"/>
          <w:b/>
          <w:sz w:val="28"/>
        </w:rPr>
        <w:t xml:space="preserve">2. Segunda parte de la estructura del Proyecto de investigación de TFG</w:t>
      </w:r>
    </w:p>
    <w:bookmarkStart w:id="36" w:name="X26fd7edd3045b8a76e95745d23dedb33f2c164e"/>
    <w:p>
      <w:pPr>
        <w:pStyle w:val="Heading2"/>
        <w:keepNext/>
        <w:spacing w:before="200" w:after="80" w:line="300" w:lineRule="auto"/>
      </w:pPr>
      <w:r>
        <w:rPr>
          <w:rFonts w:ascii="Arial" w:hAnsi="Arial"/>
          <w:b/>
          <w:sz w:val="24"/>
        </w:rPr>
        <w:t xml:space="preserve">2.1 Marco Teórico: Posicionamiento Teórico y Conceptos Centrales</w:t>
      </w:r>
    </w:p>
    <w:p>
      <w:pPr>
        <w:pStyle w:val="FirstParagraph"/>
      </w:pPr>
      <w:r>
        <w:rPr>
          <w:i/>
          <w:iCs/>
        </w:rPr>
        <w:t xml:space="preserve">(Sección en desarrollo junto al estudiante)</w:t>
      </w:r>
    </w:p>
    <w:bookmarkEnd w:id="36"/>
    <w:bookmarkStart w:id="37" w:name="antecedentes-estado-del-arte-del-tema"/>
    <w:p>
      <w:pPr>
        <w:pStyle w:val="Heading2"/>
        <w:keepNext/>
        <w:spacing w:before="200" w:after="80" w:line="300" w:lineRule="auto"/>
      </w:pPr>
      <w:r>
        <w:rPr>
          <w:rFonts w:ascii="Arial" w:hAnsi="Arial"/>
          <w:b/>
          <w:sz w:val="24"/>
        </w:rPr>
        <w:t xml:space="preserve">2.2 Antecedentes: Estado del Arte del Tema</w:t>
      </w:r>
    </w:p>
    <w:p>
      <w:pPr>
        <w:pStyle w:val="FirstParagraph"/>
      </w:pPr>
      <w:r>
        <w:rPr>
          <w:i/>
          <w:iCs/>
        </w:rPr>
        <w:t xml:space="preserve">(Sección en desarrollo junto al estudiante)</w:t>
      </w:r>
    </w:p>
    <w:p>
      <w:r>
        <w:br w:type="page"/>
      </w:r>
    </w:p>
    <w:bookmarkEnd w:id="37"/>
    <w:bookmarkEnd w:id="38"/>
    <w:bookmarkStart w:id="56" w:name="referencias"/>
    <w:p>
      <w:pPr>
        <w:pStyle w:val="Heading1"/>
        <w:keepNext/>
        <w:spacing w:before="240" w:after="120" w:line="300" w:lineRule="auto"/>
        <w:jc w:val="center"/>
      </w:pPr>
      <w:r>
        <w:rPr>
          <w:rFonts w:ascii="Arial" w:hAnsi="Arial"/>
          <w:b/>
          <w:sz w:val="28"/>
        </w:rPr>
        <w:t xml:space="preserve">Referencias</w:t>
      </w:r>
    </w:p>
    <w:bookmarkStart w:id="55" w:name="refs"/>
    <w:bookmarkStart w:id="39"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39"/>
    <w:bookmarkStart w:id="40" w:name="ref-uncocurzas2023"/>
    <w:p>
      <w:pPr>
        <w:pStyle w:val="Bibliography"/>
        <w:spacing w:after="120"/>
        <w:ind w:left="720" w:hanging="720"/>
        <w:jc w:val="left"/>
      </w:pPr>
      <w:r>
        <w:t xml:space="preserve">Consejo Directivo del CURZAS. (2023).</w:t>
      </w:r>
      <w:r>
        <w:t xml:space="preserve"> </w:t>
      </w:r>
      <w:r>
        <w:rPr>
          <w:i/>
          <w:iCs/>
        </w:rPr>
        <w:t xml:space="preserve">Resolución CD-CURZAS N° 266/23: Reglamento de Trabajo Final de Graduación (TFG) para las carreras del Departamento de Administración Pública</w:t>
      </w:r>
      <w:r>
        <w:t xml:space="preserve">. Universidad Nacional del Comahue.</w:t>
      </w:r>
    </w:p>
    <w:bookmarkEnd w:id="40"/>
    <w:bookmarkStart w:id="41" w:name="ref-pen2015"/>
    <w:p>
      <w:pPr>
        <w:pStyle w:val="Bibliography"/>
        <w:spacing w:after="120"/>
        <w:ind w:left="720" w:hanging="720"/>
        <w:jc w:val="left"/>
      </w:pPr>
      <w:r>
        <w:t xml:space="preserve">Decreto N° 1246/2015. Convenio Colectivo de Trabajo para los Docentes de las Instituciones Universitarias Nacionales (2015).</w:t>
      </w:r>
    </w:p>
    <w:bookmarkEnd w:id="41"/>
    <w:bookmarkStart w:id="42"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42"/>
    <w:bookmarkStart w:id="43" w:name="ref-ministerio1995"/>
    <w:p>
      <w:pPr>
        <w:pStyle w:val="Bibliography"/>
        <w:spacing w:after="120"/>
        <w:ind w:left="720" w:hanging="720"/>
        <w:jc w:val="left"/>
      </w:pPr>
      <w:r>
        <w:t xml:space="preserve">Ley N° 24.521 de Educación Superior (1995).</w:t>
      </w:r>
    </w:p>
    <w:bookmarkEnd w:id="43"/>
    <w:bookmarkStart w:id="44"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44"/>
    <w:bookmarkStart w:id="45"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45"/>
    <w:bookmarkStart w:id="47"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46">
        <w:r>
          <w:rPr>
            <w:rStyle w:val="Hyperlink"/>
          </w:rPr>
          <w:t xml:space="preserve">https://medisur.sld.cu/index.php/medisur/article/view/2749</w:t>
        </w:r>
      </w:hyperlink>
    </w:p>
    <w:bookmarkEnd w:id="47"/>
    <w:bookmarkStart w:id="48"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48"/>
    <w:bookmarkStart w:id="49"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49"/>
    <w:bookmarkStart w:id="51"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50">
        <w:r>
          <w:rPr>
            <w:rStyle w:val="Hyperlink"/>
          </w:rPr>
          <w:t xml:space="preserve">https://dialnet.unirioja.es/descarga/articulo/7242790.pdf</w:t>
        </w:r>
      </w:hyperlink>
    </w:p>
    <w:bookmarkEnd w:id="51"/>
    <w:bookmarkStart w:id="52" w:name="ref-unco2019"/>
    <w:p>
      <w:pPr>
        <w:pStyle w:val="Bibliography"/>
        <w:spacing w:after="120"/>
        <w:ind w:left="720" w:hanging="720"/>
        <w:jc w:val="left"/>
      </w:pPr>
      <w:r>
        <w:t xml:space="preserve">Universidad Nacional del Comahue. (2019).</w:t>
      </w:r>
      <w:r>
        <w:t xml:space="preserve"> </w:t>
      </w:r>
      <w:r>
        <w:rPr>
          <w:i/>
          <w:iCs/>
        </w:rPr>
        <w:t xml:space="preserve">Ordenanza N° 0920/2019: Reglamento de Carrera Docente</w:t>
      </w:r>
      <w:r>
        <w:t xml:space="preserve">.</w:t>
      </w:r>
    </w:p>
    <w:bookmarkEnd w:id="52"/>
    <w:bookmarkStart w:id="53" w:name="ref-unco2025"/>
    <w:p>
      <w:pPr>
        <w:pStyle w:val="Bibliography"/>
        <w:spacing w:after="120"/>
        <w:ind w:left="720" w:hanging="720"/>
        <w:jc w:val="left"/>
      </w:pPr>
      <w:r>
        <w:t xml:space="preserve">Universidad Nacional del Comahue. (2025).</w:t>
      </w:r>
      <w:r>
        <w:t xml:space="preserve"> </w:t>
      </w:r>
      <w:r>
        <w:rPr>
          <w:i/>
          <w:iCs/>
        </w:rPr>
        <w:t xml:space="preserve">Ordenanza N° 0988/2025: Texto ordenado del Estatuto de la Universidad Nacional del Comahue</w:t>
      </w:r>
      <w:r>
        <w:t xml:space="preserve">.</w:t>
      </w:r>
    </w:p>
    <w:bookmarkEnd w:id="53"/>
    <w:bookmarkStart w:id="54"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54"/>
    <w:bookmarkEnd w:id="55"/>
    <w:bookmarkEnd w:id="56"/>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50" Type="http://schemas.openxmlformats.org/officeDocument/2006/relationships/hyperlink" Target="https://dialnet.unirioja.es/descarga/articulo/7242790.pdf" TargetMode="External"/><Relationship Id="rId46" Type="http://schemas.openxmlformats.org/officeDocument/2006/relationships/hyperlink" Target="https://medisur.sld.cu/index.php/medisur/article/view/2749"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50" Type="http://schemas.openxmlformats.org/officeDocument/2006/relationships/hyperlink" Target="https://dialnet.unirioja.es/descarga/articulo/7242790.pdf" TargetMode="External"/><Relationship Id="rId46" Type="http://schemas.openxmlformats.org/officeDocument/2006/relationships/hyperlink" Target="https://medisur.sld.cu/index.php/medisur/article/view/2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2026-09-28T23:22:58Z</dcterms:created>
  <dcterms:modified xsi:type="dcterms:W3CDTF">2026-09-28T23:22:58Z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