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4</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4</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5</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6</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7</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7</w:t>
      </w:r>
    </w:p>
    <w:p>
      <w:pPr>
        <w:pStyle w:val="TOC3"/>
        <w:tabs>
          <w:tab w:val="right" w:leader="dot" w:pos="9026"/>
        </w:tabs>
        <w:ind w:left="560"/>
        <w:spacing w:after="60"/>
      </w:pPr>
      <w:r>
        <w:rPr>
          <w:rFonts w:ascii="Arial" w:hAnsi="Arial"/>
          <w:sz w:val="22"/>
        </w:rPr>
        <w:t>Plano Social e Institucional</w:t>
      </w:r>
      <w:r>
        <w:tab/>
      </w:r>
      <w:r>
        <w:rPr>
          <w:rFonts w:ascii="Arial" w:hAnsi="Arial"/>
          <w:sz w:val="22"/>
        </w:rPr>
        <w:t>7</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8</w:t>
      </w:r>
    </w:p>
    <w:p>
      <w:pPr>
        <w:pStyle w:val="TOC3"/>
        <w:tabs>
          <w:tab w:val="right" w:leader="dot" w:pos="9026"/>
        </w:tabs>
        <w:ind w:left="560"/>
        <w:spacing w:after="60"/>
      </w:pPr>
      <w:r>
        <w:rPr>
          <w:rFonts w:ascii="Arial" w:hAnsi="Arial"/>
          <w:sz w:val="22"/>
        </w:rPr>
        <w:t>Objetivo General</w:t>
      </w:r>
      <w:r>
        <w:tab/>
      </w:r>
      <w:r>
        <w:rPr>
          <w:rFonts w:ascii="Arial" w:hAnsi="Arial"/>
          <w:sz w:val="22"/>
        </w:rPr>
        <w:t>8</w:t>
      </w:r>
    </w:p>
    <w:p>
      <w:pPr>
        <w:pStyle w:val="TOC3"/>
        <w:tabs>
          <w:tab w:val="right" w:leader="dot" w:pos="9026"/>
        </w:tabs>
        <w:ind w:left="560"/>
        <w:spacing w:after="60"/>
      </w:pPr>
      <w:r>
        <w:rPr>
          <w:rFonts w:ascii="Arial" w:hAnsi="Arial"/>
          <w:sz w:val="22"/>
        </w:rPr>
        <w:t>Objetivos Específicos</w:t>
      </w:r>
      <w:r>
        <w:tab/>
      </w:r>
      <w:r>
        <w:rPr>
          <w:rFonts w:ascii="Arial" w:hAnsi="Arial"/>
          <w:sz w:val="22"/>
        </w:rPr>
        <w:t>8</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10</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12</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12</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12</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13</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14</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15</w:t>
      </w:r>
    </w:p>
    <w:p>
      <w:pPr>
        <w:pStyle w:val="TOC3"/>
        <w:tabs>
          <w:tab w:val="right" w:leader="dot" w:pos="9026"/>
        </w:tabs>
        <w:ind w:left="840"/>
        <w:spacing w:after="60"/>
      </w:pPr>
      <w:r>
        <w:rPr>
          <w:rFonts w:ascii="Arial" w:hAnsi="Arial"/>
          <w:sz w:val="22"/>
        </w:rPr>
        <w:t>De la Gobernanza Tradicional a la Poligobernanza: El Aporte de Cao y Blutman</w:t>
      </w:r>
      <w:r>
        <w:tab/>
      </w:r>
      <w:r>
        <w:rPr>
          <w:rFonts w:ascii="Arial" w:hAnsi="Arial"/>
          <w:sz w:val="22"/>
        </w:rPr>
        <w:t>15</w:t>
      </w:r>
    </w:p>
    <w:p>
      <w:pPr>
        <w:pStyle w:val="TOC3"/>
        <w:tabs>
          <w:tab w:val="right" w:leader="dot" w:pos="9026"/>
        </w:tabs>
        <w:ind w:left="840"/>
        <w:spacing w:after="60"/>
      </w:pPr>
      <w:r>
        <w:rPr>
          <w:rFonts w:ascii="Arial" w:hAnsi="Arial"/>
          <w:sz w:val="22"/>
        </w:rPr>
        <w:t>La Poligobernanza Universitaria como Categoría Analítica de Elaboración Propia</w:t>
      </w:r>
      <w:r>
        <w:tab/>
      </w:r>
      <w:r>
        <w:rPr>
          <w:rFonts w:ascii="Arial" w:hAnsi="Arial"/>
          <w:sz w:val="22"/>
        </w:rPr>
        <w:t>17</w:t>
      </w:r>
    </w:p>
    <w:p>
      <w:pPr>
        <w:pStyle w:val="TOC3"/>
        <w:tabs>
          <w:tab w:val="right" w:leader="dot" w:pos="9026"/>
        </w:tabs>
        <w:ind w:left="840"/>
        <w:spacing w:after="60"/>
      </w:pPr>
      <w:r>
        <w:rPr>
          <w:rFonts w:ascii="Arial" w:hAnsi="Arial"/>
          <w:sz w:val="22"/>
        </w:rPr>
        <w:t>El Rol Teórico de Carlos Matus y Oscar Oszlak: Poder Compartido y Capacidades Estatales</w:t>
      </w:r>
      <w:r>
        <w:tab/>
      </w:r>
      <w:r>
        <w:rPr>
          <w:rFonts w:ascii="Arial" w:hAnsi="Arial"/>
          <w:sz w:val="22"/>
        </w:rPr>
        <w:t>17</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19</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20</w:t>
      </w:r>
    </w:p>
    <w:p>
      <w:pPr>
        <w:pStyle w:val="TOC3"/>
        <w:tabs>
          <w:tab w:val="right" w:leader="dot" w:pos="9026"/>
        </w:tabs>
        <w:ind w:left="560"/>
        <w:spacing w:after="60"/>
      </w:pPr>
      <w:r>
        <w:rPr>
          <w:rFonts w:ascii="Arial" w:hAnsi="Arial"/>
          <w:sz w:val="22"/>
        </w:rPr>
        <w:t>Síntesis y Operacionalización del Marco Teórico: De las Categorías Conceptuales a las Variables del Trabajo de Campo</w:t>
      </w:r>
      <w:r>
        <w:tab/>
      </w:r>
      <w:r>
        <w:rPr>
          <w:rFonts w:ascii="Arial" w:hAnsi="Arial"/>
          <w:sz w:val="22"/>
        </w:rPr>
        <w:t>21</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22</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23</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24</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25</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26</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28</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28</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28</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29</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30</w:t>
      </w:r>
    </w:p>
    <w:p>
      <w:pPr>
        <w:pStyle w:val="TOC3"/>
        <w:tabs>
          <w:tab w:val="right" w:leader="dot" w:pos="9026"/>
        </w:tabs>
        <w:ind w:left="560"/>
        <w:spacing w:after="60"/>
      </w:pPr>
      <w:r>
        <w:rPr>
          <w:rFonts w:ascii="Arial" w:hAnsi="Arial"/>
          <w:sz w:val="22"/>
        </w:rPr>
        <w:t>Matriz Exhaustiva de Operacionalización Metodológica</w:t>
      </w:r>
      <w:r>
        <w:tab/>
      </w:r>
      <w:r>
        <w:rPr>
          <w:rFonts w:ascii="Arial" w:hAnsi="Arial"/>
          <w:sz w:val="22"/>
        </w:rPr>
        <w:t>32</w:t>
      </w:r>
    </w:p>
    <w:p>
      <w:pPr>
        <w:pStyle w:val="TOC3"/>
        <w:tabs>
          <w:tab w:val="right" w:leader="dot" w:pos="9026"/>
        </w:tabs>
        <w:ind w:left="560"/>
        <w:spacing w:after="60"/>
      </w:pPr>
      <w:r>
        <w:rPr>
          <w:rFonts w:ascii="Arial" w:hAnsi="Arial"/>
          <w:sz w:val="22"/>
        </w:rPr>
        <w:t>Fases Operativas y Procedimientos del Trabajo de Campo</w:t>
      </w:r>
      <w:r>
        <w:tab/>
      </w:r>
      <w:r>
        <w:rPr>
          <w:rFonts w:ascii="Arial" w:hAnsi="Arial"/>
          <w:sz w:val="22"/>
        </w:rPr>
        <w:t>34</w:t>
      </w:r>
    </w:p>
    <w:p>
      <w:pPr>
        <w:pStyle w:val="TOC3"/>
        <w:tabs>
          <w:tab w:val="right" w:leader="dot" w:pos="9026"/>
        </w:tabs>
        <w:ind w:left="560"/>
        <w:spacing w:after="60"/>
      </w:pPr>
      <w:r>
        <w:rPr>
          <w:rFonts w:ascii="Arial" w:hAnsi="Arial"/>
          <w:sz w:val="22"/>
        </w:rPr>
        <w:t>Estrategias y Técnicas de Procesamiento y Análisis de la Información</w:t>
      </w:r>
      <w:r>
        <w:tab/>
      </w:r>
      <w:r>
        <w:rPr>
          <w:rFonts w:ascii="Arial" w:hAnsi="Arial"/>
          <w:sz w:val="22"/>
        </w:rPr>
        <w:t>35</w:t>
      </w:r>
    </w:p>
    <w:p>
      <w:pPr>
        <w:pStyle w:val="TOC3"/>
        <w:tabs>
          <w:tab w:val="right" w:leader="dot" w:pos="9026"/>
        </w:tabs>
        <w:ind w:left="560"/>
        <w:spacing w:after="60"/>
      </w:pPr>
      <w:r>
        <w:rPr>
          <w:rFonts w:ascii="Arial" w:hAnsi="Arial"/>
          <w:sz w:val="22"/>
        </w:rPr>
        <w:t>Criterios de Rigor Científico y Consideraciones Éticas</w:t>
      </w:r>
      <w:r>
        <w:tab/>
      </w:r>
      <w:r>
        <w:rPr>
          <w:rFonts w:ascii="Arial" w:hAnsi="Arial"/>
          <w:sz w:val="22"/>
        </w:rPr>
        <w:t>36</w:t>
      </w:r>
    </w:p>
    <w:p>
      <w:pPr>
        <w:pStyle w:val="TOC2"/>
        <w:tabs>
          <w:tab w:val="right" w:leader="dot" w:pos="9026"/>
        </w:tabs>
        <w:ind w:left="280"/>
        <w:spacing w:after="60"/>
      </w:pPr>
      <w:r>
        <w:rPr>
          <w:rFonts w:ascii="Arial" w:hAnsi="Arial"/>
          <w:sz w:val="22"/>
        </w:rPr>
        <w:t>Cronograma de Actividades</w:t>
      </w:r>
      <w:r>
        <w:tab/>
      </w:r>
      <w:r>
        <w:rPr>
          <w:rFonts w:ascii="Arial" w:hAnsi="Arial"/>
          <w:sz w:val="22"/>
        </w:rPr>
        <w:t>38</w:t>
      </w:r>
    </w:p>
    <w:p>
      <w:pPr>
        <w:pStyle w:val="TOC2"/>
        <w:tabs>
          <w:tab w:val="right" w:leader="dot" w:pos="9026"/>
        </w:tabs>
        <w:ind w:left="280"/>
        <w:spacing w:after="60"/>
      </w:pPr>
      <w:r>
        <w:rPr>
          <w:rFonts w:ascii="Arial" w:hAnsi="Arial"/>
          <w:sz w:val="22"/>
        </w:rPr>
        <w:t>Viabilidad del Proyecto</w:t>
      </w:r>
      <w:r>
        <w:tab/>
      </w:r>
      <w:r>
        <w:rPr>
          <w:rFonts w:ascii="Arial" w:hAnsi="Arial"/>
          <w:sz w:val="22"/>
        </w:rPr>
        <w:t>40</w:t>
      </w:r>
    </w:p>
    <w:p>
      <w:pPr>
        <w:pStyle w:val="TOC3"/>
        <w:tabs>
          <w:tab w:val="right" w:leader="dot" w:pos="9026"/>
        </w:tabs>
        <w:ind w:left="560"/>
        <w:spacing w:after="60"/>
      </w:pPr>
      <w:r>
        <w:rPr>
          <w:rFonts w:ascii="Arial" w:hAnsi="Arial"/>
          <w:sz w:val="22"/>
        </w:rPr>
        <w:t>Recursos Económicos y Financieros</w:t>
      </w:r>
      <w:r>
        <w:tab/>
      </w:r>
      <w:r>
        <w:rPr>
          <w:rFonts w:ascii="Arial" w:hAnsi="Arial"/>
          <w:sz w:val="22"/>
        </w:rPr>
        <w:t>40</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41</w:t>
      </w:r>
    </w:p>
    <w:p>
      <w:pPr>
        <w:pStyle w:val="TOC3"/>
        <w:tabs>
          <w:tab w:val="right" w:leader="dot" w:pos="9026"/>
        </w:tabs>
        <w:ind w:left="560"/>
        <w:spacing w:after="60"/>
      </w:pPr>
      <w:r>
        <w:rPr>
          <w:rFonts w:ascii="Arial" w:hAnsi="Arial"/>
          <w:sz w:val="22"/>
        </w:rPr>
        <w:t>Recursos Técnicos, Materiales y Tecnológicos</w:t>
      </w:r>
      <w:r>
        <w:tab/>
      </w:r>
      <w:r>
        <w:rPr>
          <w:rFonts w:ascii="Arial" w:hAnsi="Arial"/>
          <w:sz w:val="22"/>
        </w:rPr>
        <w:t>41</w:t>
      </w:r>
    </w:p>
    <w:p>
      <w:pPr>
        <w:pStyle w:val="TOC3"/>
        <w:tabs>
          <w:tab w:val="right" w:leader="dot" w:pos="9026"/>
        </w:tabs>
        <w:ind w:left="560"/>
        <w:spacing w:after="60"/>
      </w:pPr>
      <w:r>
        <w:rPr>
          <w:rFonts w:ascii="Arial" w:hAnsi="Arial"/>
          <w:sz w:val="22"/>
        </w:rPr>
        <w:t>Viabilidad Institucional, Política y Gestión de Accesos</w:t>
      </w:r>
      <w:r>
        <w:tab/>
      </w:r>
      <w:r>
        <w:rPr>
          <w:rFonts w:ascii="Arial" w:hAnsi="Arial"/>
          <w:sz w:val="22"/>
        </w:rPr>
        <w:t>42</w:t>
      </w:r>
    </w:p>
    <w:p>
      <w:pPr>
        <w:pStyle w:val="TOC2"/>
        <w:tabs>
          <w:tab w:val="right" w:leader="dot" w:pos="9026"/>
        </w:tabs>
        <w:ind w:left="280"/>
        <w:spacing w:after="60"/>
      </w:pPr>
      <w:r>
        <w:rPr>
          <w:rFonts w:ascii="Arial" w:hAnsi="Arial"/>
          <w:sz w:val="22"/>
        </w:rPr>
        <w:t>Referencias Bibliográficas</w:t>
      </w:r>
      <w:r>
        <w:tab/>
      </w:r>
      <w:r>
        <w:rPr>
          <w:rFonts w:ascii="Arial" w:hAnsi="Arial"/>
          <w:sz w:val="22"/>
        </w:rPr>
        <w:t>43</w:t>
      </w:r>
    </w:p>
    <w:p>
      <w:pPr>
        <w:pStyle w:val="TOC2"/>
        <w:tabs>
          <w:tab w:val="right" w:leader="dot" w:pos="9026"/>
        </w:tabs>
        <w:ind w:left="280"/>
        <w:spacing w:after="60"/>
      </w:pPr>
      <w:r>
        <w:rPr>
          <w:rFonts w:ascii="Arial" w:hAnsi="Arial"/>
          <w:sz w:val="22"/>
        </w:rPr>
        <w:t>Anexos Metodológicos</w:t>
      </w:r>
      <w:r>
        <w:tab/>
      </w:r>
      <w:r>
        <w:rPr>
          <w:rFonts w:ascii="Arial" w:hAnsi="Arial"/>
          <w:sz w:val="22"/>
        </w:rPr>
        <w:t>44</w:t>
      </w:r>
    </w:p>
    <w:p>
      <w:pPr>
        <w:pStyle w:val="TOC3"/>
        <w:tabs>
          <w:tab w:val="right" w:leader="dot" w:pos="9026"/>
        </w:tabs>
        <w:ind w:left="560"/>
        <w:spacing w:after="60"/>
      </w:pPr>
      <w:r>
        <w:rPr>
          <w:rFonts w:ascii="Arial" w:hAnsi="Arial"/>
          <w:sz w:val="22"/>
        </w:rPr>
        <w:t>Anexo I: Guía Temática de Entrevista Semiestructurada (Docentes y Autoridades)</w:t>
      </w:r>
      <w:r>
        <w:tab/>
      </w:r>
      <w:r>
        <w:rPr>
          <w:rFonts w:ascii="Arial" w:hAnsi="Arial"/>
          <w:sz w:val="22"/>
        </w:rPr>
        <w:t>44</w:t>
      </w:r>
    </w:p>
    <w:p>
      <w:pPr>
        <w:pStyle w:val="TOC3"/>
        <w:tabs>
          <w:tab w:val="right" w:leader="dot" w:pos="9026"/>
        </w:tabs>
        <w:ind w:left="560"/>
        <w:spacing w:after="60"/>
      </w:pPr>
      <w:r>
        <w:rPr>
          <w:rFonts w:ascii="Arial" w:hAnsi="Arial"/>
          <w:sz w:val="22"/>
        </w:rPr>
        <w:t>Anexo II: Cuestionario Diagnóstico sobre Factibilidad del Modelo 360° (Escala Likert)</w:t>
      </w:r>
      <w:r>
        <w:tab/>
      </w:r>
      <w:r>
        <w:rPr>
          <w:rFonts w:ascii="Arial" w:hAnsi="Arial"/>
          <w:sz w:val="22"/>
        </w:rPr>
        <w:t>45</w:t>
      </w:r>
    </w:p>
    <w:p>
      <w:pPr>
        <w:pStyle w:val="TOC3"/>
        <w:tabs>
          <w:tab w:val="right" w:leader="dot" w:pos="9026"/>
        </w:tabs>
        <w:ind w:left="560"/>
        <w:spacing w:after="60"/>
      </w:pPr>
      <w:r>
        <w:rPr>
          <w:rFonts w:ascii="Arial" w:hAnsi="Arial"/>
          <w:sz w:val="22"/>
        </w:rPr>
        <w:t>Anexo III: Modelo de Nota Institucional de Solicitud de Aval y Consentimiento Informado</w:t>
      </w:r>
      <w:r>
        <w:tab/>
      </w:r>
      <w:r>
        <w:rPr>
          <w:rFonts w:ascii="Arial" w:hAnsi="Arial"/>
          <w:sz w:val="22"/>
        </w:rPr>
        <w:t>48</w:t>
      </w:r>
    </w:p>
    <w:p>
      <w:pPr>
        <w:pStyle w:val="TOC1"/>
        <w:tabs>
          <w:tab w:val="right" w:leader="dot" w:pos="9026"/>
        </w:tabs>
        <w:ind w:left="0"/>
        <w:spacing w:after="60"/>
      </w:pPr>
      <w:r>
        <w:rPr>
          <w:rFonts w:ascii="Arial" w:hAnsi="Arial"/>
          <w:sz w:val="22"/>
        </w:rPr>
        <w:t>Referencias Bibliográficas</w:t>
      </w:r>
      <w:r>
        <w:tab/>
      </w:r>
      <w:r>
        <w:rPr>
          <w:rFonts w:ascii="Arial" w:hAnsi="Arial"/>
          <w:sz w:val="22"/>
        </w:rPr>
        <w:t>50</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el Ciclo de Complementación Curricular de la Licenciatura en Gestión de Recursos Humanos y trayectos formativos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promueve y ofrece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4"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 En una universidad pública cogobernada, resulta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 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1"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w:t>
      </w:r>
      <w:r>
        <w:rPr>
          <w:rStyle w:val="FootnoteReference"/>
        </w:rPr>
        <w:footnoteReference w:id="20"/>
      </w:r>
      <w:r>
        <w:t xml:space="preserve"> </w:t>
      </w:r>
      <w:r>
        <w:t xml:space="preserve">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1"/>
    <w:bookmarkStart w:id="22"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preliminar. En el marco de la gestión pública y la planificación estratégica</w:t>
      </w:r>
      <w:r>
        <w:t xml:space="preserve"> </w:t>
      </w:r>
      <w:r>
        <w:t xml:space="preserve">(Longo, 2006; Matus, 1993)</w:t>
      </w:r>
      <w:r>
        <w:t xml:space="preserve">, la factibilidad 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situada en el CURZAS-UNCo, evaluar la factibilidad implica indagar si se verifican las condiciones indispensables para que el modelo pueda desplegarse sin distorsionar sus fines formativos ni vulnerar garantías estatutarias vigentes. Esta indagación preliminar contempla cinco dimensiones analíticas interrelacionadas:</w:t>
      </w:r>
    </w:p>
    <w:p>
      <w:pPr>
        <w:pStyle w:val="Compact"/>
        <w:numPr>
          <w:ilvl w:val="0"/>
          <w:numId w:val="1003"/>
        </w:numPr>
      </w:pPr>
      <w:r>
        <w:rPr>
          <w:i/>
          <w:iCs/>
        </w:rPr>
        <w:t xml:space="preserve">Factibilidad normativa y estatutaria:</w:t>
      </w:r>
      <w:r>
        <w:t xml:space="preserve"> </w:t>
      </w:r>
      <w:r>
        <w:t xml:space="preserve">Compatibilidad con el Estatuto UNCo (Ordenanza CS N° 0988/2025), el Reglamento de Carrera Docente (Ordenanza CS N° 0910/1997 y modificatorias) y el Convenio Colectivo de Trabajo Docente (Decreto PEN N° 1246/2015), preservando la no sumatividad y la estabilidad laboral</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i/>
          <w:iCs/>
        </w:rPr>
        <w:t xml:space="preserve">Factibilidad técnica e instrumental:</w:t>
      </w:r>
      <w:r>
        <w:t xml:space="preserve"> </w:t>
      </w:r>
      <w:r>
        <w:t xml:space="preserve">Disponibilidad y accesibilidad de plataformas digitales institucionales (campus virtual Moodle, SIU-Guaraní) e instrumentos pedagógicamente válidos capaces de procesar la retroalimentación multiactoral resguardando rigurosamente el anonimato</w:t>
      </w:r>
      <w:r>
        <w:t xml:space="preserve"> </w:t>
      </w:r>
      <w:r>
        <w:t xml:space="preserve">(Obando Freire et al., 2014; Sifuentes Ocegueda et al., 2016)</w:t>
      </w:r>
      <w:r>
        <w:t xml:space="preserve">.</w:t>
      </w:r>
    </w:p>
    <w:p>
      <w:pPr>
        <w:pStyle w:val="Compact"/>
        <w:numPr>
          <w:ilvl w:val="0"/>
          <w:numId w:val="1003"/>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UNCo) a través de circuitos administrativos y tiempos de gestión adecuados</w:t>
      </w:r>
      <w:r>
        <w:t xml:space="preserve"> </w:t>
      </w:r>
      <w:r>
        <w:t xml:space="preserve">(Longo, 2006)</w:t>
      </w:r>
      <w:r>
        <w:t xml:space="preserve">.</w:t>
      </w:r>
    </w:p>
    <w:p>
      <w:pPr>
        <w:pStyle w:val="Compact"/>
        <w:numPr>
          <w:ilvl w:val="0"/>
          <w:numId w:val="1003"/>
        </w:numPr>
      </w:pPr>
      <w:r>
        <w:rPr>
          <w:i/>
          <w:iCs/>
        </w:rPr>
        <w:t xml:space="preserve">Factibilidad cultural y actitudinal:</w:t>
      </w:r>
      <w:r>
        <w:t xml:space="preserve"> </w:t>
      </w:r>
      <w:r>
        <w:t xml:space="preserve">Clima de confianza institucional, cultura participativa y disposición favorable en los actores involucrados (docentes y estudiantes) ante la coevaluación pedagógica, superando prevenciones al control burocrático</w:t>
      </w:r>
      <w:r>
        <w:t xml:space="preserve"> </w:t>
      </w:r>
      <w:r>
        <w:t xml:space="preserve">(Lepsinger &amp; Lucia, 2009; Reyes &amp; Díaz, 2020)</w:t>
      </w:r>
      <w:r>
        <w:t xml:space="preserve">.</w:t>
      </w:r>
    </w:p>
    <w:p>
      <w:pPr>
        <w:pStyle w:val="Compact"/>
        <w:numPr>
          <w:ilvl w:val="0"/>
          <w:numId w:val="1003"/>
        </w:numPr>
      </w:pPr>
      <w:r>
        <w:rPr>
          <w:i/>
          <w:iCs/>
        </w:rPr>
        <w:t xml:space="preserve">Factibilidad de gobernanza multinivel (poligobernanza):</w:t>
      </w:r>
      <w:r>
        <w:t xml:space="preserve"> </w:t>
      </w:r>
      <w:r>
        <w:t xml:space="preserve">Viabilidad política para deliberar y consensuar la propuesta en los órganos de cogobierno (Consejo Directivo y Consejo Superior) y mesas paritarias docentes sobre variables de control compartido</w:t>
      </w:r>
      <w:r>
        <w:t xml:space="preserve"> </w:t>
      </w:r>
      <w:r>
        <w:t xml:space="preserve">(Brunner, 2011; Cao &amp; Blutman, 2023; Matus, 1993)</w:t>
      </w:r>
      <w:r>
        <w:t xml:space="preserve">.</w:t>
      </w:r>
    </w:p>
    <w:p>
      <w:pPr>
        <w:pStyle w:val="FirstParagraph"/>
      </w:pPr>
      <w:r>
        <w:rPr>
          <w:i/>
          <w:iCs/>
        </w:rPr>
        <w:t xml:space="preserve">Nota metodológica:</w:t>
      </w:r>
      <w:r>
        <w:t xml:space="preserve"> </w:t>
      </w:r>
      <w:r>
        <w:t xml:space="preserve">Conforme a las recomendaciones de la cátedra para la presente etapa de diseño preliminar del proyecto de TFG, la matriz exhaustiva de operacionalización empírica (indicadores específicos desagregados, reactivos para escalas Likert e instrumentos de recolección de campo) se reserva para la Tercera Parte correspondiente a la Estrategia Metodológica (TP N° 4).</w:t>
      </w:r>
    </w:p>
    <w:bookmarkEnd w:id="22"/>
    <w:bookmarkStart w:id="23"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3"/>
    <w:bookmarkEnd w:id="24"/>
    <w:bookmarkStart w:id="28"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5"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5"/>
    <w:bookmarkStart w:id="26"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4"/>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4"/>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4"/>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6"/>
    <w:bookmarkStart w:id="27"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el Ciclo de Complementación Curricular de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7"/>
    <w:bookmarkEnd w:id="28"/>
    <w:bookmarkStart w:id="32" w:name="definición-de-objetivos-del-tfg"/>
    <w:p>
      <w:pPr>
        <w:pStyle w:val="Heading2"/>
        <w:keepNext/>
        <w:spacing w:before="200" w:after="80" w:line="300" w:lineRule="auto"/>
      </w:pPr>
      <w:r>
        <w:rPr>
          <w:rFonts w:ascii="Arial" w:hAnsi="Arial"/>
          <w:b/>
          <w:sz w:val="24"/>
        </w:rPr>
        <w:t xml:space="preserve">Definición de Objetivos del TFG</w:t>
      </w:r>
    </w:p>
    <w:bookmarkStart w:id="29"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5"/>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29"/>
    <w:bookmarkStart w:id="30"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0"/>
    <w:bookmarkStart w:id="31"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7"/>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7"/>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7"/>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7"/>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1"/>
    <w:bookmarkEnd w:id="32"/>
    <w:bookmarkEnd w:id="33"/>
    <w:bookmarkStart w:id="52"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6"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4"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 factibilidad:</w:t>
      </w:r>
    </w:p>
    <w:p>
      <w:pPr>
        <w:pStyle w:val="Compact"/>
        <w:numPr>
          <w:ilvl w:val="0"/>
          <w:numId w:val="1008"/>
        </w:numPr>
      </w:pPr>
      <w:r>
        <w:rPr>
          <w:i/>
          <w:iCs/>
        </w:rPr>
        <w:t xml:space="preserve">La realidad social como proceso</w:t>
      </w:r>
      <w:r>
        <w:rPr>
          <w:i/>
          <w:iCs/>
        </w:rPr>
        <w:t xml:space="preserve"> </w:t>
      </w:r>
      <w:r>
        <w:rPr>
          <w:i/>
          <w:iCs/>
        </w:rPr>
        <w:t xml:space="preserve">“dado-dándose”</w:t>
      </w:r>
      <w:r>
        <w:rPr>
          <w:i/>
          <w:i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08"/>
        </w:numPr>
      </w:pPr>
      <w:r>
        <w:rPr>
          <w:i/>
          <w:i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 campo de posibilidades reales y viables para la acción de los sujetos</w:t>
      </w:r>
      <w:r>
        <w:t xml:space="preserve"> </w:t>
      </w:r>
      <w:r>
        <w:t xml:space="preserve">(De la Garza Toledo, 2001; Matus, 1993)</w:t>
      </w:r>
      <w:r>
        <w:t xml:space="preserve">.</w:t>
      </w:r>
    </w:p>
    <w:p>
      <w:pPr>
        <w:pStyle w:val="Compact"/>
        <w:numPr>
          <w:ilvl w:val="0"/>
          <w:numId w:val="1008"/>
        </w:numPr>
      </w:pPr>
      <w:r>
        <w:rPr>
          <w:i/>
          <w:i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4"/>
    <w:bookmarkStart w:id="35"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 gestión del rendimiento (evaluación del desempeño), concibiéndolo no como un fin aislado o autárquico, sino en su articulación orgánica con otros tres subsistemas institucionales:</w:t>
      </w:r>
    </w:p>
    <w:p>
      <w:pPr>
        <w:pStyle w:val="Compact"/>
        <w:numPr>
          <w:ilvl w:val="0"/>
          <w:numId w:val="1009"/>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09"/>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09"/>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09"/>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35"/>
    <w:bookmarkStart w:id="36"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0"/>
        </w:numPr>
      </w:pPr>
      <w:r>
        <w:rPr>
          <w:i/>
          <w:i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0"/>
        </w:numPr>
      </w:pPr>
      <w:r>
        <w:rPr>
          <w:i/>
          <w:i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 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1"/>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1"/>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1"/>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1"/>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6"/>
    <w:bookmarkStart w:id="44"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 gobernanza universitaria y, específicamente, la configuración de un entramado de poligobernanza institucional multinivel en el seno de la Administración Pública argentina. Para una tesis en Gestión de Recursos Humanos, estos enfoques no se presentan como abstracciones teóricas generales, sino como los lentes analíticos situados indispensables para determinar si un dispositivo evaluativo participativo resulta viable en el contexto institucional del CURZAS-UNCo.</w:t>
      </w:r>
    </w:p>
    <w:bookmarkStart w:id="37" w:name="X904b4c59cd073bbc56725f9d2ca28fe890cdfb7"/>
    <w:p>
      <w:pPr>
        <w:pStyle w:val="Heading4"/>
      </w:pPr>
      <w:r>
        <w:t xml:space="preserve">De la Gobernanza Tradicional a la Poligobernanza: El Aporte de Cao y Blutman</w:t>
      </w:r>
    </w:p>
    <w:p>
      <w:pPr>
        <w:pStyle w:val="FirstParagraph"/>
      </w:pPr>
      <w:r>
        <w:t xml:space="preserve">En el campo de la teoría de la administración pública, se adopta como cimiento inicial la concepción clásica de gobernanza sistematizada por Luis F.</w:t>
      </w:r>
      <w:r>
        <w:t xml:space="preserve"> </w:t>
      </w:r>
      <w:r>
        <w:t xml:space="preserve">Aguilar Villanueva (2006)</w:t>
      </w:r>
      <w:r>
        <w:t xml:space="preserve">, quien la define como el proceso de</w:t>
      </w:r>
      <w:r>
        <w:t xml:space="preserve"> </w:t>
      </w:r>
      <w:r>
        <w:rPr>
          <w:i/>
          <w:iCs/>
        </w:rPr>
        <w:t xml:space="preserve">dirección social compartida</w:t>
      </w:r>
      <w:r>
        <w:t xml:space="preserve">. Desde este enfoque, la gobernanza supera los esquemas jerárquicos y verticalistas de mando exclusivo del aparato estatal, reconociendo que la conducción de los asuntos públicos emana de la cooperación, la deliberación horizontal y la articulación en redes entre las estructuras de gobierno y una pluralidad de actores sociales. En el ámbito del CURZAS-UNCo, esta dirección compartida implica que la evaluación del desempeño docente no puede decretarse como una directiva jerárquica vertical de la conducción, sino que exige la construcción de un pacto de cooperación pedagógica y confianza recíproca entre autoridades departamentales, equipos de cátedra y estudiantes.</w:t>
      </w:r>
    </w:p>
    <w:p>
      <w:pPr>
        <w:pStyle w:val="BodyText"/>
      </w:pPr>
      <w:r>
        <w:t xml:space="preserve">Sobre esta matriz analítica, la presente investigación incorpora los desarrollos teóricos de Horacio Cao y Gustavo Blutman</w:t>
      </w:r>
      <w:r>
        <w:t xml:space="preserve"> </w:t>
      </w:r>
      <w:r>
        <w:t xml:space="preserve">(Cao &amp; Blutman, 2021, 2023)</w:t>
      </w:r>
      <w:r>
        <w:t xml:space="preserve">, quienes formulan sistemáticamente el concepto de poligobernanza para modelar los escenarios prospectivos del Estado y de la Administración Pública argentina (en el marco del programa INAP Futuro). De acuerdo con</w:t>
      </w:r>
      <w:r>
        <w:t xml:space="preserve"> </w:t>
      </w:r>
      <w:r>
        <w:t xml:space="preserve">Cao &amp; Blutman (2023)</w:t>
      </w:r>
      <w:r>
        <w:t xml:space="preserve">, la poligobernanza se diferencia tanto del paradigma burocrático neoweberiano (focalizado en el control legal-racional y procedimental) como de la Nueva Gerencia Pública (orientada a la mercantilización de servicios y a la entronización del ciudadano como cliente), asumiendo en su lugar una perspectiva sociocéntrica:</w:t>
      </w:r>
    </w:p>
    <w:p>
      <w:pPr>
        <w:pStyle w:val="Compact"/>
        <w:numPr>
          <w:ilvl w:val="0"/>
          <w:numId w:val="1012"/>
        </w:numPr>
      </w:pPr>
      <w:r>
        <w:rPr>
          <w:i/>
          <w:iCs/>
        </w:rPr>
        <w:t xml:space="preserve">El Estado Plataforma frente a la Cuarta Revolución Industrial:</w:t>
      </w:r>
      <w:r>
        <w:t xml:space="preserve"> </w:t>
      </w:r>
      <w:r>
        <w:t xml:space="preserve">Inscripta en el marco de las transformaciones tecnológicas contemporáneas, la propuesta de</w:t>
      </w:r>
      <w:r>
        <w:t xml:space="preserve"> </w:t>
      </w:r>
      <w:r>
        <w:t xml:space="preserve">Cao &amp; Blutman (2021)</w:t>
      </w:r>
      <w:r>
        <w:t xml:space="preserve"> </w:t>
      </w:r>
      <w:r>
        <w:t xml:space="preserve">sostiene que el Estado debe configurarse como un</w:t>
      </w:r>
      <w:r>
        <w:t xml:space="preserve"> </w:t>
      </w:r>
      <w:r>
        <w:t xml:space="preserve">“Estado plataforma”</w:t>
      </w:r>
      <w:r>
        <w:t xml:space="preserve">, caracterizado por estructuras horizontales, descentralizadas e interconectadas que coordinan, median y potencian la interacción entre la sociedad civil, las comunidades de práctica y los colectivos profesionales. Trasladada a la realidad del Departamento de Administración Pública del CURZAS, esta noción de plataforma ilumina la necesidad de interconectar a la sede central de Viedma con los Nodos Universitarios de la Línea Sur y la Costa Atlántica, concibiendo al dispositivo 360° no como una auditoría a distancia, sino como una red tecnológica horizontal que articula y acompaña la labor tutorial en entornos híbridos de enseñanza.</w:t>
      </w:r>
    </w:p>
    <w:p>
      <w:pPr>
        <w:pStyle w:val="Compact"/>
        <w:numPr>
          <w:ilvl w:val="0"/>
          <w:numId w:val="1012"/>
        </w:numPr>
      </w:pPr>
      <w:r>
        <w:rPr>
          <w:i/>
          <w:iCs/>
        </w:rPr>
        <w:t xml:space="preserve">Gestión de la Complejidad y Metodología Situada:</w:t>
      </w:r>
      <w:r>
        <w:t xml:space="preserve"> </w:t>
      </w:r>
      <w:r>
        <w:t xml:space="preserve">La poligobernanza se postula como un enfoque relacional y participativo orientado a</w:t>
      </w:r>
      <w:r>
        <w:t xml:space="preserve"> </w:t>
      </w:r>
      <w:r>
        <w:t xml:space="preserve">“gestionar el caos”</w:t>
      </w:r>
      <w:r>
        <w:t xml:space="preserve"> </w:t>
      </w:r>
      <w:r>
        <w:t xml:space="preserve">y la incertidumbre, construyendo soluciones a medida adaptadas a la singularidad de cada problema público mediante la circulación de saberes y la deliberación multiactoral, superando tanto la rigidez burocrática como la mercantilización privatista de lo público</w:t>
      </w:r>
      <w:r>
        <w:t xml:space="preserve"> </w:t>
      </w:r>
      <w:r>
        <w:t xml:space="preserve">(Cao &amp; Blutman, 2023)</w:t>
      </w:r>
      <w:r>
        <w:t xml:space="preserve">. Frente a la heterogeneidad de realidades áulicas del CURZAS, gestionar la complejidad significa superar las encuestas estandarizadas rígidas que reducen la labor docente a un puntaje cuantitativo abstracto, habilitando mediante el 360° una retroalimentación formativa y situada que capte las dificultades reales de la práctica pedagógica.</w:t>
      </w:r>
    </w:p>
    <w:bookmarkEnd w:id="37"/>
    <w:bookmarkStart w:id="38" w:name="X5eba19cee255a248a999c8a85ecb0baa9dac5e4"/>
    <w:p>
      <w:pPr>
        <w:pStyle w:val="Heading4"/>
      </w:pPr>
      <w:r>
        <w:t xml:space="preserve">La Poligobernanza Universitaria como Categoría Analítica de Elaboración Propia</w:t>
      </w:r>
    </w:p>
    <w:p>
      <w:pPr>
        <w:pStyle w:val="FirstParagraph"/>
      </w:pPr>
      <w:r>
        <w:t xml:space="preserve">A partir del marco referencial provisto por</w:t>
      </w:r>
      <w:r>
        <w:t xml:space="preserve"> </w:t>
      </w:r>
      <w:r>
        <w:t xml:space="preserve">Aguilar Villanueva (2006)</w:t>
      </w:r>
      <w:r>
        <w:t xml:space="preserve"> </w:t>
      </w:r>
      <w:r>
        <w:t xml:space="preserve">y por</w:t>
      </w:r>
      <w:r>
        <w:t xml:space="preserve"> </w:t>
      </w:r>
      <w:r>
        <w:t xml:space="preserve">Cao &amp; Blutman (2023)</w:t>
      </w:r>
      <w:r>
        <w:t xml:space="preserve">, en esta investigación se define a la poligobernanza institucional universitaria como una categoría analítica de elaboración propia, formulada para interpretar las relaciones sociopolíticas y los cuatro planos de decisión del CURZAS-UNCo:</w:t>
      </w:r>
    </w:p>
    <w:p>
      <w:pPr>
        <w:pStyle w:val="Compact"/>
        <w:numPr>
          <w:ilvl w:val="0"/>
          <w:numId w:val="1013"/>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3"/>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 (Art. 76 del Estatuto UNCo).</w:t>
      </w:r>
    </w:p>
    <w:p>
      <w:pPr>
        <w:pStyle w:val="Compact"/>
        <w:numPr>
          <w:ilvl w:val="0"/>
          <w:numId w:val="1013"/>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promueven nuevas mediaciones pedagógicas y requerimientos tutoriales sincrónicos y asincrónicos mediadas por tecnologías</w:t>
      </w:r>
      <w:r>
        <w:t xml:space="preserve"> </w:t>
      </w:r>
      <w:r>
        <w:t xml:space="preserve">(Consejo Directivo del CURZAS, 2022)</w:t>
      </w:r>
      <w:r>
        <w:t xml:space="preserve">.</w:t>
      </w:r>
    </w:p>
    <w:p>
      <w:pPr>
        <w:pStyle w:val="Compact"/>
        <w:numPr>
          <w:ilvl w:val="0"/>
          <w:numId w:val="1013"/>
        </w:numPr>
      </w:pPr>
      <w:r>
        <w:rPr>
          <w:i/>
          <w:iCs/>
        </w:rPr>
        <w:t xml:space="preserve">Dimensión Transversal Sociolaboral y Paritaria (Longo, 2006):</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t xml:space="preserve">Esta categorización multidimensional demuestra que la viabilidad del modelo 360° en el CURZAS no depende de un visto bueno burocrático aislado, sino de su capacidad para articular armónicamente las regulaciones estatutarias centrales con las exigencias pedagógicas territoriales y las garantías laborales docentes.</w:t>
      </w:r>
    </w:p>
    <w:bookmarkEnd w:id="38"/>
    <w:bookmarkStart w:id="40" w:name="X281e32bf6404acb5230f5a8292e7ee942fa28bd"/>
    <w:p>
      <w:pPr>
        <w:pStyle w:val="Heading4"/>
      </w:pPr>
      <w:r>
        <w:t xml:space="preserve">El Rol Teórico de Carlos Matus y Oscar Oszlak: Poder Compartido y Capacidades Estatales</w:t>
      </w:r>
    </w:p>
    <w:p>
      <w:pPr>
        <w:pStyle w:val="FirstParagraph"/>
      </w:pPr>
      <w:r>
        <w:t xml:space="preserve">Es precisamente al interior de este entramado de poligobernanza institucional donde convergen, de modo articulado y diferenciado, los aportes sustantivos de Carlos Matus y Oscar Oszlak como herramientas para evaluar la factibilidad en el CURZAS:</w:t>
      </w:r>
    </w:p>
    <w:p>
      <w:pPr>
        <w:pStyle w:val="Compact"/>
        <w:numPr>
          <w:ilvl w:val="0"/>
          <w:numId w:val="1014"/>
        </w:numPr>
      </w:pPr>
      <w:r>
        <w:rPr>
          <w:b/>
          <w:bCs/>
        </w:rPr>
        <w:t xml:space="preserve">Carlos Matus y la Viabilidad en Arenas de Poder Compartido:</w:t>
      </w:r>
      <w:r>
        <w:t xml:space="preserve"> </w:t>
      </w:r>
      <w:r>
        <w:t xml:space="preserve">Desde la teoría de la Planificación Estratégica Situacional (PES), Carlos</w:t>
      </w:r>
      <w:r>
        <w:t xml:space="preserve"> </w:t>
      </w:r>
      <w:r>
        <w:t xml:space="preserve">Matus (1993)</w:t>
      </w:r>
      <w:r>
        <w:t xml:space="preserve"> </w:t>
      </w:r>
      <w:r>
        <w:t xml:space="preserve">demuestra que la gestión pública en sistemas multiactorales no se desenvuelve en un vacío formal ni admite la imposición de directivas de manera jerárquica o unilateral. Para Matus, el gobierno se despliega en arenas de poder compartido y conflicto legítimo de intereses, donde ningún actor monopoliza los recursos de poder; en consecuencia, la viabilidad de un dispositivo innovador como la retroalimentación 360° no depende de un mandato burocrático, sino de la capacidad de concertar acuerdos sobre variables de control compartido (</w:t>
      </w:r>
      <w:r>
        <w:rPr>
          <w:i/>
          <w:iCs/>
        </w:rPr>
        <w:t xml:space="preserve">juicio de viabilidad política e institucional</w:t>
      </w:r>
      <w:r>
        <w:t xml:space="preserve">). Para el CURZAS, la advertencia de Matus es contundente: el dispositivo 360° solo será viable si se consensúan con los representantes docentes y gremiales las reglas del juego evaluativo —especialmente la estricta voluntariedad, el anonimato y la desvinculación de los jurados de permanencia—, transformando un potencial foco de conflicto laboral en un proyecto compartido de perfeccionamiento pedagógico.</w:t>
      </w:r>
    </w:p>
    <w:p>
      <w:pPr>
        <w:pStyle w:val="Compact"/>
        <w:numPr>
          <w:ilvl w:val="0"/>
          <w:numId w:val="1014"/>
        </w:numPr>
      </w:pPr>
      <w:r>
        <w:rPr>
          <w:b/>
          <w:bCs/>
        </w:rPr>
        <w:t xml:space="preserve">Oscar Oszlak y las Capacidades Estatales en la Era Exponencial:</w:t>
      </w:r>
      <w:r>
        <w:t xml:space="preserve"> </w:t>
      </w:r>
      <w:r>
        <w:t xml:space="preserve">A su turno, las reflexiones de Oscar</w:t>
      </w:r>
      <w:r>
        <w:t xml:space="preserve"> </w:t>
      </w:r>
      <w:r>
        <w:t xml:space="preserve">Oszlak (2020)</w:t>
      </w:r>
      <w:r>
        <w:t xml:space="preserve"> </w:t>
      </w:r>
      <w:r>
        <w:t xml:space="preserve">sobre el</w:t>
      </w:r>
      <w:r>
        <w:t xml:space="preserve"> </w:t>
      </w:r>
      <w:r>
        <w:rPr>
          <w:i/>
          <w:iCs/>
        </w:rPr>
        <w:t xml:space="preserve">Estado en la era exponencial</w:t>
      </w:r>
      <w:r>
        <w:t xml:space="preserve"> </w:t>
      </w:r>
      <w:r>
        <w:t xml:space="preserve">permiten fundamentar cómo la incorporación de tecnologías de evaluación diagnóstica y plataformas digitales debe orientarse al fortalecimiento de las capacidades estatales e institucionales de gestión, evitando que la innovación tecnológica derive en un control tecno-burocrático deshumanizante, sino en un soporte inteligente al servicio del aprendizaje organizacional y el desarrollo de personas</w:t>
      </w:r>
      <w:r>
        <w:t xml:space="preserve"> </w:t>
      </w:r>
      <w:r>
        <w:t xml:space="preserve">(Longo, 2006)</w:t>
      </w:r>
      <w:r>
        <w:t xml:space="preserve">. En términos de gestión de recursos humanos en el CURZAS, la mirada de Oszlak orienta a que la digitalización del modelo 360° en plataformas institucionales (SIU-Guaraní y Moodle) no se reduzca a una fría automatización informática, sino que construya capacidades institucionales reales en el Departamento para traducir las devoluciones en planes concretos de formación docente continua (Art. 76 del Estatuto UNCo).</w:t>
      </w:r>
    </w:p>
    <w:p>
      <w:pPr>
        <w:pStyle w:val="FirstParagraph"/>
      </w:pPr>
      <w:r>
        <w:t xml:space="preserve">Articulada con el marco de Francisco</w:t>
      </w:r>
      <w:r>
        <w:t xml:space="preserve"> </w:t>
      </w:r>
      <w:r>
        <w:t xml:space="preserve">Longo (2006)</w:t>
      </w:r>
      <w:r>
        <w:t xml:space="preserve"> </w:t>
      </w:r>
      <w:r>
        <w:t xml:space="preserve">sobre la gestión estratégica del empleo y del rendimiento en el sector público, esta trama institucional en el CURZAS-UNCo se sustenta en tres pilares normativos y relacionales fundamentales:</w:t>
      </w:r>
    </w:p>
    <w:p>
      <w:pPr>
        <w:pStyle w:val="Compact"/>
        <w:numPr>
          <w:ilvl w:val="0"/>
          <w:numId w:val="1015"/>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5"/>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5"/>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r>
        <w:rPr>
          <w:rStyle w:val="FootnoteReference"/>
        </w:rPr>
        <w:footnoteReference w:id="39"/>
      </w:r>
    </w:p>
    <w:bookmarkEnd w:id="40"/>
    <w:bookmarkStart w:id="41"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6"/>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6"/>
        </w:numPr>
      </w:pPr>
      <w:r>
        <w:rPr>
          <w:b/>
          <w:bCs/>
        </w:rPr>
        <w:t xml:space="preserve">Categoría analítica de la investigación (</w:t>
      </w:r>
      <w:r>
        <w:rPr>
          <w:b/>
          <w:bCs/>
          <w:i/>
          <w:iCs/>
        </w:rPr>
        <w:t xml:space="preserve">sujetos y colectivos situados</w:t>
      </w:r>
      <w:r>
        <w:rPr>
          <w:b/>
          <w:bCs/>
        </w:rPr>
        <w:t xml:space="preserve">):</w:t>
      </w:r>
      <w:r>
        <w:t xml:space="preserve"> </w:t>
      </w:r>
      <w:r>
        <w:t xml:space="preserve">Permite superar la abstracción formal de los estamentos jurídicos para captar las prácticas pedagógicas concretas, las representaciones subjetivas, el clima relacional, la confianza intersubjetiva y las disposiciones cotidianas frente al trabajo académico y formativo.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7"/>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7"/>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7"/>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7"/>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41"/>
    <w:bookmarkStart w:id="43"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 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r>
        <w:rPr>
          <w:rStyle w:val="FootnoteReference"/>
        </w:rPr>
        <w:footnoteReference w:id="42"/>
      </w:r>
    </w:p>
    <w:bookmarkEnd w:id="43"/>
    <w:bookmarkEnd w:id="44"/>
    <w:bookmarkStart w:id="45" w:name="X97f16b4fc03e31fa750a32f12a9ee91c3a08a47"/>
    <w:p>
      <w:pPr>
        <w:pStyle w:val="Heading3"/>
        <w:keepNext/>
        <w:spacing w:before="160" w:after="40" w:line="300" w:lineRule="auto"/>
      </w:pPr>
      <w:r>
        <w:rPr>
          <w:rFonts w:ascii="Arial" w:hAnsi="Arial"/>
          <w:b/>
          <w:i/>
          <w:sz w:val="24"/>
        </w:rPr>
        <w:t xml:space="preserve">Síntesis y Operacionalización del Marco Teórico: De las Categorías Conceptuales a las Variables del Trabajo de Campo</w:t>
      </w:r>
    </w:p>
    <w:p>
      <w:pPr>
        <w:pStyle w:val="FirstParagraph"/>
      </w:pPr>
      <w:r>
        <w:t xml:space="preserve">Para asegurar la rigurosidad metodológica del proyecto y evitar una desconexión entre la teoría sustantiva y la indagación empírica, la siguiente síntesis articula los conceptos rectores del marco teórico con las variables y dimensiones que serán relevadas en el trabajo de campo en el CURZAS-UNCo:</w:t>
      </w:r>
    </w:p>
    <w:p>
      <w:pPr>
        <w:pStyle w:val="Compact"/>
        <w:numPr>
          <w:ilvl w:val="0"/>
          <w:numId w:val="1018"/>
        </w:numPr>
      </w:pPr>
      <w:r>
        <w:rPr>
          <w:b/>
          <w:bCs/>
        </w:rPr>
        <w:t xml:space="preserve">El Esqueleto Estructural (Longo, 2006):</w:t>
      </w:r>
      <w:r>
        <w:t xml:space="preserve"> </w:t>
      </w:r>
      <w:r>
        <w:t xml:space="preserve">El subsistema de</w:t>
      </w:r>
      <w:r>
        <w:t xml:space="preserve"> </w:t>
      </w:r>
      <w:r>
        <w:rPr>
          <w:i/>
          <w:iCs/>
        </w:rPr>
        <w:t xml:space="preserve">gestión del rendimiento</w:t>
      </w:r>
      <w:r>
        <w:t xml:space="preserve"> </w:t>
      </w:r>
      <w:r>
        <w:t xml:space="preserve">se operacionaliza mediante la evaluación docente formativa, articulándose indisolublemente con la</w:t>
      </w:r>
      <w:r>
        <w:t xml:space="preserve"> </w:t>
      </w:r>
      <w:r>
        <w:rPr>
          <w:i/>
          <w:iCs/>
        </w:rPr>
        <w:t xml:space="preserve">organización del trabajo</w:t>
      </w:r>
      <w:r>
        <w:t xml:space="preserve"> </w:t>
      </w:r>
      <w:r>
        <w:t xml:space="preserve">(funciones docentes presenciales e híbridas en la Red de Nodos), la</w:t>
      </w:r>
      <w:r>
        <w:t xml:space="preserve"> </w:t>
      </w:r>
      <w:r>
        <w:rPr>
          <w:i/>
          <w:iCs/>
        </w:rPr>
        <w:t xml:space="preserve">gestión del desarrollo</w:t>
      </w:r>
      <w:r>
        <w:t xml:space="preserve"> </w:t>
      </w:r>
      <w:r>
        <w:t xml:space="preserve">(insumo diagnóstico para el Programa Anual de Capacitación del Art. 76) y la</w:t>
      </w:r>
      <w:r>
        <w:t xml:space="preserve"> </w:t>
      </w:r>
      <w:r>
        <w:rPr>
          <w:i/>
          <w:iCs/>
        </w:rPr>
        <w:t xml:space="preserve">gestión de las relaciones humanas</w:t>
      </w:r>
      <w:r>
        <w:t xml:space="preserve"> </w:t>
      </w:r>
      <w:r>
        <w:t xml:space="preserve">(acuerdos paritarios y clima de confianza).</w:t>
      </w:r>
    </w:p>
    <w:p>
      <w:pPr>
        <w:pStyle w:val="Compact"/>
        <w:numPr>
          <w:ilvl w:val="0"/>
          <w:numId w:val="1018"/>
        </w:numPr>
      </w:pPr>
      <w:r>
        <w:rPr>
          <w:b/>
          <w:bCs/>
        </w:rPr>
        <w:t xml:space="preserve">El Objeto Técnico y Pedagógico (Modelo 360°):</w:t>
      </w:r>
      <w:r>
        <w:t xml:space="preserve"> </w:t>
      </w:r>
      <w:r>
        <w:t xml:space="preserve">Se operacionaliza a través de una matriz multiactoral que triangula cuatro miradas situadas: autoevaluación, coevaluación entre pares de cátedra, heteroevaluación estudiantil y apreciación de la dirección departamental, despojada de consecuencias sumativas punitivas.</w:t>
      </w:r>
    </w:p>
    <w:p>
      <w:pPr>
        <w:pStyle w:val="Compact"/>
        <w:numPr>
          <w:ilvl w:val="0"/>
          <w:numId w:val="1018"/>
        </w:numPr>
      </w:pPr>
      <w:r>
        <w:rPr>
          <w:b/>
          <w:bCs/>
        </w:rPr>
        <w:t xml:space="preserve">Los Lentes Institucionales Situados (Cao &amp; Blutman, Matus, Oszlak):</w:t>
      </w:r>
      <w:r>
        <w:t xml:space="preserve"> </w:t>
      </w:r>
      <w:r>
        <w:t xml:space="preserve">Condicionan la factibilidad política, técnica y cultural del dispositivo. La</w:t>
      </w:r>
      <w:r>
        <w:t xml:space="preserve"> </w:t>
      </w:r>
      <w:r>
        <w:rPr>
          <w:i/>
          <w:iCs/>
        </w:rPr>
        <w:t xml:space="preserve">poligobernanza</w:t>
      </w:r>
      <w:r>
        <w:t xml:space="preserve"> </w:t>
      </w:r>
      <w:r>
        <w:t xml:space="preserve">(Cao &amp; Blutman) y la gobernanza universitaria (Krotsch, Brunner) definen las variables de articulación multinivel y gestión de la complejidad en territorio; la</w:t>
      </w:r>
      <w:r>
        <w:t xml:space="preserve"> </w:t>
      </w:r>
      <w:r>
        <w:rPr>
          <w:i/>
          <w:iCs/>
        </w:rPr>
        <w:t xml:space="preserve">planificación en poder compartido</w:t>
      </w:r>
      <w:r>
        <w:t xml:space="preserve"> </w:t>
      </w:r>
      <w:r>
        <w:t xml:space="preserve">(Matus) establece las variables de negociación colegiada y paritaria; y las</w:t>
      </w:r>
      <w:r>
        <w:t xml:space="preserve"> </w:t>
      </w:r>
      <w:r>
        <w:rPr>
          <w:i/>
          <w:iCs/>
        </w:rPr>
        <w:t xml:space="preserve">capacidades estatales</w:t>
      </w:r>
      <w:r>
        <w:t xml:space="preserve"> </w:t>
      </w:r>
      <w:r>
        <w:t xml:space="preserve">(Oszlak) delimitan las variables de soporte tecnológico y anonimización de datos.</w:t>
      </w:r>
    </w:p>
    <w:p>
      <w:pPr>
        <w:pStyle w:val="FirstParagraph"/>
      </w:pPr>
      <w:r>
        <w:t xml:space="preserve">En su conjunto, esta arquitectura conceptual se traduce operativamente en las cinco dimensiones de factibilidad que estructuran los instrumentos de recolección de datos (guías de entrevistas a autoridades y docentes, cuestionarios a estudiantes y matriz de análisis normativo-documental):</w:t>
      </w:r>
    </w:p>
    <w:p>
      <w:pPr>
        <w:pStyle w:val="Compact"/>
        <w:numPr>
          <w:ilvl w:val="0"/>
          <w:numId w:val="1019"/>
        </w:numPr>
      </w:pPr>
      <w:r>
        <w:rPr>
          <w:i/>
          <w:iCs/>
        </w:rPr>
        <w:t xml:space="preserve">Dimensión Normativa y Estatutaria:</w:t>
      </w:r>
      <w:r>
        <w:t xml:space="preserve"> </w:t>
      </w:r>
      <w:r>
        <w:t xml:space="preserve">Variables de armonización estatutaria, respeto al Convenio Colectivo de Trabajo y no sumatividad.</w:t>
      </w:r>
    </w:p>
    <w:p>
      <w:pPr>
        <w:pStyle w:val="Compact"/>
        <w:numPr>
          <w:ilvl w:val="0"/>
          <w:numId w:val="1019"/>
        </w:numPr>
      </w:pPr>
      <w:r>
        <w:rPr>
          <w:i/>
          <w:iCs/>
        </w:rPr>
        <w:t xml:space="preserve">Dimensión Técnica e Instrumental:</w:t>
      </w:r>
      <w:r>
        <w:t xml:space="preserve"> </w:t>
      </w:r>
      <w:r>
        <w:t xml:space="preserve">Variables de usabilidad y parametrización en plataformas institucionales (SIU-Guaraní y Moodle), recolección digital mediante formularios seguros, protección algorítmica del anonimato y mitigación de fatiga evaluativa.</w:t>
      </w:r>
    </w:p>
    <w:p>
      <w:pPr>
        <w:pStyle w:val="Compact"/>
        <w:numPr>
          <w:ilvl w:val="0"/>
          <w:numId w:val="1019"/>
        </w:numPr>
      </w:pPr>
      <w:r>
        <w:rPr>
          <w:i/>
          <w:iCs/>
        </w:rPr>
        <w:t xml:space="preserve">Dimensión Organizacional y Procedimental:</w:t>
      </w:r>
      <w:r>
        <w:t xml:space="preserve"> </w:t>
      </w:r>
      <w:r>
        <w:t xml:space="preserve">Variables de capacidad de gestión departamental, circuitos de devolución oportuna, implementación técnica de la matriz de agregación temática desvinculada de sumatividad y articulación con planes de formación docente continua (Art. 76).</w:t>
      </w:r>
    </w:p>
    <w:p>
      <w:pPr>
        <w:pStyle w:val="Compact"/>
        <w:numPr>
          <w:ilvl w:val="0"/>
          <w:numId w:val="1019"/>
        </w:numPr>
      </w:pPr>
      <w:r>
        <w:rPr>
          <w:i/>
          <w:iCs/>
        </w:rPr>
        <w:t xml:space="preserve">Dimensión Cultural y Actitudinal:</w:t>
      </w:r>
      <w:r>
        <w:t xml:space="preserve"> </w:t>
      </w:r>
      <w:r>
        <w:t xml:space="preserve">Variables de confianza intersubjetiva, cultura de diálogo formativo y predisposición docente y estudiantil ante la coevaluación.</w:t>
      </w:r>
    </w:p>
    <w:p>
      <w:pPr>
        <w:pStyle w:val="Compact"/>
        <w:numPr>
          <w:ilvl w:val="0"/>
          <w:numId w:val="1019"/>
        </w:numPr>
      </w:pPr>
      <w:r>
        <w:rPr>
          <w:i/>
          <w:iCs/>
        </w:rPr>
        <w:t xml:space="preserve">Dimensión de Gobernanza y Diálogo Institucional:</w:t>
      </w:r>
      <w:r>
        <w:t xml:space="preserve"> </w:t>
      </w:r>
      <w:r>
        <w:t xml:space="preserve">Variables de legitimación en el cogobierno (Consejo Directivo y Superior) y concertación paritaria sobre variables de control compartido.</w:t>
      </w:r>
    </w:p>
    <w:p>
      <w:pPr>
        <w:pStyle w:val="FirstParagraph"/>
      </w:pPr>
      <w:r>
        <w:t xml:space="preserve">Habiendo precisado el marco teórico que fundamenta qué es el modelo 360°, bajo qué subsistemas de recursos humanos se inscribe y qué lentes institucionales condicionan su viabilidad en la universidad pública, resulta indispensable contrastar este aparato conceptual con la evidencia empírica acumulada en la literatura científica. A continuación, el</w:t>
      </w:r>
      <w:r>
        <w:t xml:space="preserve"> </w:t>
      </w:r>
      <w:r>
        <w:rPr>
          <w:b/>
          <w:bCs/>
        </w:rPr>
        <w:t xml:space="preserve">Estado del Arte</w:t>
      </w:r>
      <w:r>
        <w:t xml:space="preserve"> </w:t>
      </w:r>
      <w:r>
        <w:t xml:space="preserve">analiza los antecedentes internacionales, nacionales y regionales que han abordado innovaciones evaluativas similares, identificando lecciones aprendidas y delimitando con precisión la vacancia de conocimiento que justifica el presente estudio.</w:t>
      </w:r>
    </w:p>
    <w:bookmarkEnd w:id="45"/>
    <w:bookmarkEnd w:id="46"/>
    <w:bookmarkStart w:id="51"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 vacancia de conocimiento 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7"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20"/>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20"/>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20"/>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20"/>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47"/>
    <w:bookmarkStart w:id="48"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21"/>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21"/>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8"/>
    <w:bookmarkStart w:id="49"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2"/>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3"/>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3"/>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2"/>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2"/>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ofrece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49"/>
    <w:bookmarkStart w:id="50"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 área de vacancia empírica: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50"/>
    <w:bookmarkEnd w:id="51"/>
    <w:bookmarkEnd w:id="52"/>
    <w:bookmarkStart w:id="68"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60"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En este capítulo se define la estrategia metodológica integral, el diseño de investigación, las unidades de análisis y las técnicas operativas de recolección y procesamiento de datos empíricos, en plena articulación con los objetivos del TFG y las prescripciones de la Resolución CD-CURZAS N° 266/23.</w:t>
      </w:r>
    </w:p>
    <w:bookmarkStart w:id="53"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estrategia metodológica de la investigación adopta un enfoque mixto</w:t>
      </w:r>
      <w:r>
        <w:t xml:space="preserve"> </w:t>
      </w:r>
      <w:r>
        <w:t xml:space="preserve">(Hern’andez Sampieri et al., 2014)</w:t>
      </w:r>
      <w:r>
        <w:t xml:space="preserve">, materializado mediante un diseño secuencial explicativo (DEXPLIS) de modalidad preponderantemente cualitativa (</w:t>
      </w:r>
      <m:oMath>
        <m:r>
          <m:t>C</m:t>
        </m:r>
        <m:r>
          <m:t>U</m:t>
        </m:r>
        <m:r>
          <m:t>A</m:t>
        </m:r>
        <m:r>
          <m:t>L</m:t>
        </m:r>
        <m:r>
          <m:rPr>
            <m:sty m:val="p"/>
          </m:rPr>
          <m:t>→</m:t>
        </m:r>
        <m:r>
          <m:t>c</m:t>
        </m:r>
        <m:r>
          <m:t>u</m:t>
        </m:r>
        <m:r>
          <m:t>a</m:t>
        </m:r>
        <m:r>
          <m:t>n</m:t>
        </m:r>
      </m:oMath>
      <w:r>
        <w:t xml:space="preserve">). Conforme a los aportes de</w:t>
      </w:r>
      <w:r>
        <w:t xml:space="preserve"> </w:t>
      </w:r>
      <w:r>
        <w:t xml:space="preserve">Sautu (2005)</w:t>
      </w:r>
      <w:r>
        <w:t xml:space="preserve"> </w:t>
      </w:r>
      <w:r>
        <w:t xml:space="preserve">y</w:t>
      </w:r>
      <w:r>
        <w:t xml:space="preserve"> </w:t>
      </w:r>
      <w:r>
        <w:t xml:space="preserve">De la Garza Toledo (2001)</w:t>
      </w:r>
      <w:r>
        <w:t xml:space="preserve">, la elección de una metodología mixta responde a la complejidad propia de investigar las condiciones de factibilidad en el sector público universitario:</w:t>
      </w:r>
    </w:p>
    <w:p>
      <w:pPr>
        <w:pStyle w:val="Compact"/>
        <w:numPr>
          <w:ilvl w:val="0"/>
          <w:numId w:val="1024"/>
        </w:numPr>
      </w:pPr>
      <w:r>
        <w:rPr>
          <w:i/>
          <w:iCs/>
        </w:rPr>
        <w:t xml:space="preserve">Preponderancia cualitativa (</w:t>
      </w:r>
      <m:oMath>
        <m:r>
          <m:t>C</m:t>
        </m:r>
        <m:r>
          <m:t>U</m:t>
        </m:r>
        <m:r>
          <m:t>A</m:t>
        </m:r>
        <m:r>
          <m:t>L</m:t>
        </m:r>
      </m:oMath>
      <w:r>
        <w:rPr>
          <w:i/>
          <w:iCs/>
        </w:rPr>
        <w:t xml:space="preserve">):</w:t>
      </w:r>
      <w:r>
        <w:t xml:space="preserve"> </w:t>
      </w:r>
      <w:r>
        <w:t xml:space="preserve">Para desentrañar las representaciones intersubjetivas, las resistencias institucionales, las percepciones sobre el control burocrático y los márgenes de consenso paritario docente, resulta indispensable un abordaje comprensivo y hermenéutico que capture la profundidad del discurso de los actores universitarios.</w:t>
      </w:r>
    </w:p>
    <w:p>
      <w:pPr>
        <w:pStyle w:val="Compact"/>
        <w:numPr>
          <w:ilvl w:val="0"/>
          <w:numId w:val="1024"/>
        </w:numPr>
      </w:pPr>
      <w:r>
        <w:rPr>
          <w:i/>
          <w:iCs/>
        </w:rPr>
        <w:t xml:space="preserve">Complementariedad descriptiva cuantitativa (</w:t>
      </w:r>
      <m:oMath>
        <m:r>
          <m:t>c</m:t>
        </m:r>
        <m:r>
          <m:t>u</m:t>
        </m:r>
        <m:r>
          <m:t>a</m:t>
        </m:r>
        <m:r>
          <m:t>n</m:t>
        </m:r>
      </m:oMath>
      <w:r>
        <w:rPr>
          <w:i/>
          <w:iCs/>
        </w:rPr>
        <w:t xml:space="preserve">):</w:t>
      </w:r>
      <w:r>
        <w:t xml:space="preserve"> </w:t>
      </w:r>
      <w:r>
        <w:t xml:space="preserve">Para dimensionar el alcance empírico de dichas valoraciones, se requiere relevar de forma transversal la predisposición actitudinal y las demandas formativas prioritarias en docentes y estudiantes de la sede central de Viedma y de la Red de Nodos Territoriales de la Provincia de Río Negro.</w:t>
      </w:r>
    </w:p>
    <w:p>
      <w:pPr>
        <w:pStyle w:val="FirstParagraph"/>
      </w:pPr>
      <w:r>
        <w:t xml:space="preserve">En cuanto a su alcance, el estudio se define como descriptivo, exploratorio y propositivo</w:t>
      </w:r>
      <w:r>
        <w:t xml:space="preserve"> </w:t>
      </w:r>
      <w:r>
        <w:t xml:space="preserve">(Hern’andez Sampieri et al., 2014)</w:t>
      </w:r>
      <w:r>
        <w:t xml:space="preserve">:</w:t>
      </w:r>
      <w:r>
        <w:t xml:space="preserve"> </w:t>
      </w:r>
      <w:r>
        <w:t xml:space="preserve">*</w:t>
      </w:r>
      <w:r>
        <w:t xml:space="preserve"> </w:t>
      </w:r>
      <w:r>
        <w:rPr>
          <w:i/>
          <w:iCs/>
        </w:rPr>
        <w:t xml:space="preserve">Descriptivo:</w:t>
      </w:r>
      <w:r>
        <w:t xml:space="preserve"> </w:t>
      </w:r>
      <w:r>
        <w:t xml:space="preserve">Porque releva, sistematiza y caracteriza los instrumentos, circuitos normativos y prácticas evaluativas docentes vigentes en el Departamento de Administración Pública del CURZAS-UNCo.</w:t>
      </w:r>
      <w:r>
        <w:t xml:space="preserve"> </w:t>
      </w:r>
      <w:r>
        <w:t xml:space="preserve">*</w:t>
      </w:r>
      <w:r>
        <w:t xml:space="preserve"> </w:t>
      </w:r>
      <w:r>
        <w:rPr>
          <w:i/>
          <w:iCs/>
        </w:rPr>
        <w:t xml:space="preserve">Exploratorio:</w:t>
      </w:r>
      <w:r>
        <w:t xml:space="preserve"> </w:t>
      </w:r>
      <w:r>
        <w:t xml:space="preserve">Dado que indaga un objeto empírico no contrastado previamente en la unidad académica: la factibilidad integral de un circuito multiactoral (360°) formativo en una universidad pública descentralizada.</w:t>
      </w:r>
      <w:r>
        <w:t xml:space="preserve"> </w:t>
      </w:r>
      <w:r>
        <w:t xml:space="preserve">*</w:t>
      </w:r>
      <w:r>
        <w:t xml:space="preserve"> </w:t>
      </w:r>
      <w:r>
        <w:rPr>
          <w:i/>
          <w:iCs/>
        </w:rPr>
        <w:t xml:space="preserve">Propositivo:</w:t>
      </w:r>
      <w:r>
        <w:t xml:space="preserve"> </w:t>
      </w:r>
      <w:r>
        <w:t xml:space="preserve">En la medida en que culmina con la formulación de lineamientos orientativos de diseño y gobernanza para una eventual implementación progresiva y consensuada del modelo.</w:t>
      </w:r>
    </w:p>
    <w:p>
      <w:pPr>
        <w:pStyle w:val="BodyText"/>
      </w:pPr>
      <w:r>
        <w:t xml:space="preserve">Respecto al diseño empírico, se implementa un estudio de caso instrumental situado</w:t>
      </w:r>
      <w:r>
        <w:t xml:space="preserve"> </w:t>
      </w:r>
      <w:r>
        <w:t xml:space="preserve">(Flyvbjerg, 2005; Gim’enez, 2012)</w:t>
      </w:r>
      <w:r>
        <w:t xml:space="preserve"> </w:t>
      </w:r>
      <w:r>
        <w:t xml:space="preserve">de corte no experimental y transversal</w:t>
      </w:r>
      <w:r>
        <w:t xml:space="preserve"> </w:t>
      </w:r>
      <w:r>
        <w:t xml:space="preserve">(Hern’andez Sampieri et al., 2014)</w:t>
      </w:r>
      <w:r>
        <w:t xml:space="preserve">, focalizado en el bienio temporal 2025–2026. Siguiendo a</w:t>
      </w:r>
      <w:r>
        <w:t xml:space="preserve"> </w:t>
      </w:r>
      <w:r>
        <w:t xml:space="preserve">Flyvbjerg (2005)</w:t>
      </w:r>
      <w:r>
        <w:t xml:space="preserve">, el estudio de caso no constituye una limitación metodológica para la generalización abstracta, sino un dispositivo metodológico fundamental para la generación de conocimiento experto y contextualizado en ciencias sociales. En este marco, el Departamento de Administración Pública del CURZAS se selecciona como un caso crítico y paradigmático, dado que condensa las características distintivas de las universidades públicas patagónicas: cogobierno colegiado, regímenes de carrera docente regulados por convenio colectivo (Decreto PEN N° 1246/2015) y una creciente dispersión territorial a través de entornos pedagógicos híbridos (Resolución CD-CURZA N° 196/2022).</w:t>
      </w:r>
    </w:p>
    <w:bookmarkEnd w:id="53"/>
    <w:bookmarkStart w:id="54"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La unidad de análisis institucional es el Departamento de Administración Pública del CURZAS-UNCo.</w:t>
      </w:r>
    </w:p>
    <w:p>
      <w:pPr>
        <w:pStyle w:val="BodyText"/>
      </w:pPr>
      <w:r>
        <w:t xml:space="preserve">Las unidades de observación y sujetos participantes comprenden cuatro estamentos de la comunidad académica:</w:t>
      </w:r>
      <w:r>
        <w:t xml:space="preserve"> </w:t>
      </w:r>
      <w:r>
        <w:t xml:space="preserve">1.</w:t>
      </w:r>
      <w:r>
        <w:t xml:space="preserve"> </w:t>
      </w:r>
      <w:r>
        <w:rPr>
          <w:i/>
          <w:iCs/>
        </w:rPr>
        <w:t xml:space="preserve">Cuerpo Docente:</w:t>
      </w:r>
      <w:r>
        <w:t xml:space="preserve"> </w:t>
      </w:r>
      <w:r>
        <w:t xml:space="preserve">Profesores/as regulares e interinos (titulares, asociados, adjuntos, jefes de trabajos prácticos y ayudantes de primera) con funciones de docencia, investigación y extensión en las carreras del Departamento, incluyendo docentes tutores asignados a los Nodos Universitarios.</w:t>
      </w:r>
      <w:r>
        <w:t xml:space="preserve"> </w:t>
      </w:r>
      <w:r>
        <w:t xml:space="preserve">2.</w:t>
      </w:r>
      <w:r>
        <w:t xml:space="preserve"> </w:t>
      </w:r>
      <w:r>
        <w:rPr>
          <w:i/>
          <w:iCs/>
        </w:rPr>
        <w:t xml:space="preserve">Comunidad Estudiantil:</w:t>
      </w:r>
      <w:r>
        <w:t xml:space="preserve"> </w:t>
      </w:r>
      <w:r>
        <w:t xml:space="preserve">Estudiantes regulares que cursan asignaturas de la Licenciatura en Administración Pública y del Ciclo de Complementación Curricular de la Licenciatura en Gestión de Recursos Humanos en sede Viedma y en la Red de Nodos.</w:t>
      </w:r>
      <w:r>
        <w:t xml:space="preserve"> </w:t>
      </w:r>
      <w:r>
        <w:t xml:space="preserve">3.</w:t>
      </w:r>
      <w:r>
        <w:t xml:space="preserve"> </w:t>
      </w:r>
      <w:r>
        <w:rPr>
          <w:i/>
          <w:iCs/>
        </w:rPr>
        <w:t xml:space="preserve">Autoridades Académicas y Miembros del Cogobierno:</w:t>
      </w:r>
      <w:r>
        <w:t xml:space="preserve"> </w:t>
      </w:r>
      <w:r>
        <w:t xml:space="preserve">Dirección del Departamento de Administración Pública, integrantes del Consejo Departamental y representantes docentes y estudiantiles ante el Consejo Directivo del CURZAS.</w:t>
      </w:r>
      <w:r>
        <w:t xml:space="preserve"> </w:t>
      </w:r>
      <w:r>
        <w:t xml:space="preserve">4.</w:t>
      </w:r>
      <w:r>
        <w:t xml:space="preserve"> </w:t>
      </w:r>
      <w:r>
        <w:rPr>
          <w:i/>
          <w:iCs/>
        </w:rPr>
        <w:t xml:space="preserve">Representaciones Gremiales y Paritarias:</w:t>
      </w:r>
      <w:r>
        <w:t xml:space="preserve"> </w:t>
      </w:r>
      <w:r>
        <w:t xml:space="preserve">Representantes gremiales docentes (Asociación de Docentes de la Universidad Nacional del Comahue - ADUNC) y miembros paritarios locales vinculados al seguimiento del Convenio Colectivo de Trabajo Docente.</w:t>
      </w:r>
    </w:p>
    <w:p>
      <w:pPr>
        <w:pStyle w:val="BodyText"/>
      </w:pPr>
      <w:r>
        <w:t xml:space="preserve">Para el trabajo de campo se configuran dos estrategias de muestreo complementarias:</w:t>
      </w:r>
    </w:p>
    <w:p>
      <w:pPr>
        <w:pStyle w:val="Compact"/>
        <w:numPr>
          <w:ilvl w:val="0"/>
          <w:numId w:val="1025"/>
        </w:numPr>
      </w:pPr>
      <w:r>
        <w:rPr>
          <w:b/>
          <w:bCs/>
        </w:rPr>
        <w:t xml:space="preserve">Muestra Cualitativa (Fase I y II):</w:t>
      </w:r>
      <w:r>
        <w:t xml:space="preserve"> </w:t>
      </w:r>
      <w:r>
        <w:t xml:space="preserve">Se emplea un muestreo intencional no probabilístico por criterios teóricos y relevancia situacional</w:t>
      </w:r>
      <w:r>
        <w:t xml:space="preserve"> </w:t>
      </w:r>
      <w:r>
        <w:t xml:space="preserve">(Glaser &amp; Strauss, 1967; Sautu, 2005)</w:t>
      </w:r>
      <w:r>
        <w:t xml:space="preserve">. La selección de informantes clave procura una rigurosa heterogeneidad interna:</w:t>
      </w:r>
    </w:p>
    <w:p>
      <w:pPr>
        <w:pStyle w:val="Compact"/>
        <w:numPr>
          <w:ilvl w:val="1"/>
          <w:numId w:val="1026"/>
        </w:numPr>
      </w:pPr>
      <w:r>
        <w:t xml:space="preserve">8 docentes del Departamento, diversificando categoría docente (profesores y auxiliares), dedicación horaria (exclusiva, semiexclusiva y simple) y modalidad de enseñanza (presencial en Viedma y tutoría híbrida en Nodos).</w:t>
      </w:r>
    </w:p>
    <w:p>
      <w:pPr>
        <w:pStyle w:val="Compact"/>
        <w:numPr>
          <w:ilvl w:val="1"/>
          <w:numId w:val="1026"/>
        </w:numPr>
      </w:pPr>
      <w:r>
        <w:t xml:space="preserve">2 autoridades académicas de la gestión del CURZAS y del Departamento.</w:t>
      </w:r>
    </w:p>
    <w:p>
      <w:pPr>
        <w:pStyle w:val="Compact"/>
        <w:numPr>
          <w:ilvl w:val="1"/>
          <w:numId w:val="1026"/>
        </w:numPr>
      </w:pPr>
      <w:r>
        <w:t xml:space="preserve">2 representantes gremiales docentes paritarios de ADUNC.</w:t>
      </w:r>
    </w:p>
    <w:p>
      <w:pPr>
        <w:pStyle w:val="Compact"/>
        <w:numPr>
          <w:ilvl w:val="1"/>
          <w:numId w:val="1026"/>
        </w:numPr>
      </w:pPr>
      <w:r>
        <w:t xml:space="preserve">4 estudiantes avanzados (con más del 50% de la carrera aprobada) con experiencia en el cursado presencial e híbrido.</w:t>
      </w:r>
      <w:r>
        <w:t xml:space="preserve"> </w:t>
      </w:r>
      <w:r>
        <w:t xml:space="preserve">La muestra cualitativa total alcanzará aproximadamente 16 entrevistas en profundidad, guiándose por el principio de saturación teórica</w:t>
      </w:r>
      <w:r>
        <w:t xml:space="preserve"> </w:t>
      </w:r>
      <w:r>
        <w:t xml:space="preserve">(Glaser &amp; Strauss, 1967)</w:t>
      </w:r>
      <w:r>
        <w:t xml:space="preserve">, momento en el cual los nuevos testimonios no aporten categorías analíticas novedosas sobre las condiciones de factibilidad.</w:t>
      </w:r>
    </w:p>
    <w:p>
      <w:pPr>
        <w:pStyle w:val="Compact"/>
        <w:numPr>
          <w:ilvl w:val="0"/>
          <w:numId w:val="1025"/>
        </w:numPr>
      </w:pPr>
      <w:r>
        <w:rPr>
          <w:b/>
          <w:bCs/>
        </w:rPr>
        <w:t xml:space="preserve">Muestra Cuantitativa (Fase III):</w:t>
      </w:r>
      <w:r>
        <w:t xml:space="preserve"> </w:t>
      </w:r>
      <w:r>
        <w:t xml:space="preserve">Se implementa un muestreo no probabilístico por accesibilidad y participación voluntaria estratificada</w:t>
      </w:r>
      <w:r>
        <w:t xml:space="preserve"> </w:t>
      </w:r>
      <w:r>
        <w:t xml:space="preserve">(Hern’andez Sampieri et al., 2014)</w:t>
      </w:r>
      <w:r>
        <w:t xml:space="preserve">. Sobre un universo poblacional estimado en 42 docentes y 220 estudiantes regulares activos del Departamento, se prevé una muestra diagnóstica mínima de:</w:t>
      </w:r>
    </w:p>
    <w:p>
      <w:pPr>
        <w:pStyle w:val="Compact"/>
        <w:numPr>
          <w:ilvl w:val="1"/>
          <w:numId w:val="1027"/>
        </w:numPr>
      </w:pPr>
      <w:r>
        <w:t xml:space="preserve">30 docentes (representando más del 70% del cuerpo docente del Departamento).</w:t>
      </w:r>
    </w:p>
    <w:p>
      <w:pPr>
        <w:pStyle w:val="Compact"/>
        <w:numPr>
          <w:ilvl w:val="1"/>
          <w:numId w:val="1027"/>
        </w:numPr>
      </w:pPr>
      <w:r>
        <w:t xml:space="preserve">110 estudiantes (representando el 50% del padrón activo, con cobertura tanto de sede central como de los Nodos Territoriales de Sierra Grande, Valcheta, Los Menucos y Ramos Mexía).</w:t>
      </w:r>
      <w:r>
        <w:t xml:space="preserve"> </w:t>
      </w:r>
      <w:r>
        <w:t xml:space="preserve">Este tamaño muestral asegura una base empírica suficiente para el cálculo de estadísticas descriptivas y distribuciones de frecuencias con validez diagnóstica interna.</w:t>
      </w:r>
    </w:p>
    <w:bookmarkEnd w:id="54"/>
    <w:bookmarkStart w:id="55"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Para asegurar una comprensión integral de las cinco dimensiones de factibilidad, se diseñan e implementan cuatro técnicas de recolección de datos articuladas:</w:t>
      </w:r>
    </w:p>
    <w:p>
      <w:pPr>
        <w:pStyle w:val="Compact"/>
        <w:numPr>
          <w:ilvl w:val="0"/>
          <w:numId w:val="1028"/>
        </w:numPr>
      </w:pPr>
      <w:r>
        <w:rPr>
          <w:b/>
          <w:bCs/>
        </w:rPr>
        <w:t xml:space="preserve">Análisis Documental Normativo y Hermenéutico Institucional:</w:t>
      </w:r>
    </w:p>
    <w:p>
      <w:pPr>
        <w:pStyle w:val="Compact"/>
        <w:numPr>
          <w:ilvl w:val="1"/>
          <w:numId w:val="1029"/>
        </w:numPr>
      </w:pPr>
      <w:r>
        <w:rPr>
          <w:i/>
          <w:iCs/>
        </w:rPr>
        <w:t xml:space="preserve">Objetivo:</w:t>
      </w:r>
      <w:r>
        <w:t xml:space="preserve"> </w:t>
      </w:r>
      <w:r>
        <w:t xml:space="preserve">Relevar y sistematizar las prescripciones estatutarias, ordenanzas de carrera docente, resoluciones de docencia híbrida y acuerdos paritarios vigentes.</w:t>
      </w:r>
    </w:p>
    <w:p>
      <w:pPr>
        <w:pStyle w:val="Compact"/>
        <w:numPr>
          <w:ilvl w:val="1"/>
          <w:numId w:val="1029"/>
        </w:numPr>
      </w:pPr>
      <w:r>
        <w:rPr>
          <w:i/>
          <w:iCs/>
        </w:rPr>
        <w:t xml:space="preserve">Corpus documental:</w:t>
      </w:r>
      <w:r>
        <w:t xml:space="preserve"> </w:t>
      </w:r>
      <w:r>
        <w:t xml:space="preserve">Estatuto UNCo (Ordenanza CS N° 0988/2025), Reglamento de Carrera Docente (Ordenanza CS N° 0910/1997 y modificatorias), Convenio Colectivo de Trabajo Docente (Decreto PEN N° 1246/2015), Resolución CD-CURZA N° 196/2022 (pautas de bimodalidad en Nodos) y actas de Consejo Departamental y Directivo relativas a programas de formación docente (Art. 76).</w:t>
      </w:r>
    </w:p>
    <w:p>
      <w:pPr>
        <w:pStyle w:val="Compact"/>
        <w:numPr>
          <w:ilvl w:val="1"/>
          <w:numId w:val="1029"/>
        </w:numPr>
      </w:pPr>
      <w:r>
        <w:rPr>
          <w:i/>
          <w:iCs/>
        </w:rPr>
        <w:t xml:space="preserve">Instrumento:</w:t>
      </w:r>
      <w:r>
        <w:t xml:space="preserve"> </w:t>
      </w:r>
      <w:r>
        <w:t xml:space="preserve">Ficha matriz de análisis documental y concordancia normativa, que analiza la compatibilidad jurídica, las garantías de no sumatividad y los límites estatutarios de la retroalimentación.</w:t>
      </w:r>
    </w:p>
    <w:p>
      <w:pPr>
        <w:pStyle w:val="Compact"/>
        <w:numPr>
          <w:ilvl w:val="0"/>
          <w:numId w:val="1028"/>
        </w:numPr>
      </w:pPr>
      <w:r>
        <w:rPr>
          <w:b/>
          <w:bCs/>
        </w:rPr>
        <w:t xml:space="preserve">Entrevistas Semiestructuradas en Profundidad:</w:t>
      </w:r>
    </w:p>
    <w:p>
      <w:pPr>
        <w:pStyle w:val="Compact"/>
        <w:numPr>
          <w:ilvl w:val="1"/>
          <w:numId w:val="1030"/>
        </w:numPr>
      </w:pPr>
      <w:r>
        <w:rPr>
          <w:i/>
          <w:iCs/>
        </w:rPr>
        <w:t xml:space="preserve">Objetivo:</w:t>
      </w:r>
      <w:r>
        <w:t xml:space="preserve"> </w:t>
      </w:r>
      <w:r>
        <w:t xml:space="preserve">Indagar percepciones, significados, temores al control burocrático, valoraciones sobre el feedback formativo y condiciones sociopolíticas de viabilidad paritaria.</w:t>
      </w:r>
    </w:p>
    <w:p>
      <w:pPr>
        <w:pStyle w:val="Compact"/>
        <w:numPr>
          <w:ilvl w:val="1"/>
          <w:numId w:val="1030"/>
        </w:numPr>
      </w:pPr>
      <w:r>
        <w:rPr>
          <w:i/>
          <w:iCs/>
        </w:rPr>
        <w:t xml:space="preserve">Participantes:</w:t>
      </w:r>
      <w:r>
        <w:t xml:space="preserve"> </w:t>
      </w:r>
      <w:r>
        <w:t xml:space="preserve">Docentes, autoridades departamentales y referentes sindicales.</w:t>
      </w:r>
    </w:p>
    <w:p>
      <w:pPr>
        <w:pStyle w:val="Compact"/>
        <w:numPr>
          <w:ilvl w:val="1"/>
          <w:numId w:val="1030"/>
        </w:numPr>
      </w:pPr>
      <w:r>
        <w:rPr>
          <w:i/>
          <w:iCs/>
        </w:rPr>
        <w:t xml:space="preserve">Instrumento:</w:t>
      </w:r>
      <w:r>
        <w:t xml:space="preserve"> </w:t>
      </w:r>
      <w:r>
        <w:t xml:space="preserve">Guías temáticas de entrevista semiestructurada (diferenciadas según el rol del actor), organizadas en torno a ejes analíticos: concepción de la evaluación docente, experiencia con encuestas estudiantiles e informes anuales, predisposición a la autoevaluación y coevaluación entre pares, exigencias en nodos territoriales y resguardos éticos indispensables.</w:t>
      </w:r>
    </w:p>
    <w:p>
      <w:pPr>
        <w:pStyle w:val="Compact"/>
        <w:numPr>
          <w:ilvl w:val="0"/>
          <w:numId w:val="1028"/>
        </w:numPr>
      </w:pPr>
      <w:r>
        <w:rPr>
          <w:b/>
          <w:bCs/>
        </w:rPr>
        <w:t xml:space="preserve">Cuestionarios Diagnósticos Autoadministrados (Encuesta Multiactoral en Línea):</w:t>
      </w:r>
    </w:p>
    <w:p>
      <w:pPr>
        <w:pStyle w:val="Compact"/>
        <w:numPr>
          <w:ilvl w:val="1"/>
          <w:numId w:val="1031"/>
        </w:numPr>
      </w:pPr>
      <w:r>
        <w:rPr>
          <w:i/>
          <w:iCs/>
        </w:rPr>
        <w:t xml:space="preserve">Objetivo:</w:t>
      </w:r>
      <w:r>
        <w:t xml:space="preserve"> </w:t>
      </w:r>
      <w:r>
        <w:t xml:space="preserve">Cuantificar la predisposición actitudinal, el nivel de acuerdo frente a los componentes del modelo 360° y las demandas formativas prioritarias en docentes y estudiantes.</w:t>
      </w:r>
    </w:p>
    <w:p>
      <w:pPr>
        <w:pStyle w:val="Compact"/>
        <w:numPr>
          <w:ilvl w:val="1"/>
          <w:numId w:val="1031"/>
        </w:numPr>
      </w:pPr>
      <w:r>
        <w:rPr>
          <w:i/>
          <w:iCs/>
        </w:rPr>
        <w:t xml:space="preserve">Participantes:</w:t>
      </w:r>
      <w:r>
        <w:t xml:space="preserve"> </w:t>
      </w:r>
      <w:r>
        <w:t xml:space="preserve">Cuerpo docente y comunidad estudiantil del Departamento.</w:t>
      </w:r>
    </w:p>
    <w:p>
      <w:pPr>
        <w:pStyle w:val="Compact"/>
        <w:numPr>
          <w:ilvl w:val="1"/>
          <w:numId w:val="1031"/>
        </w:numPr>
      </w:pPr>
      <w:r>
        <w:rPr>
          <w:i/>
          <w:iCs/>
        </w:rPr>
        <w:t xml:space="preserve">Instrumento:</w:t>
      </w:r>
      <w:r>
        <w:t xml:space="preserve"> </w:t>
      </w:r>
      <w:r>
        <w:t xml:space="preserve">Cuestionario de Factibilidad de Retroalimentación 360°, estructurado mediante una batería de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complementado con preguntas abiertas cualitativas de respuesta breve. Se administrará a través de plataformas digitales institucionales seguras (Google Forms / LimeSurvey / Moodle) configuradas sin registro de direcciones de correo ni IPs, garantizando el anonimato técnico estricto.</w:t>
      </w:r>
    </w:p>
    <w:p>
      <w:pPr>
        <w:pStyle w:val="Compact"/>
        <w:numPr>
          <w:ilvl w:val="0"/>
          <w:numId w:val="1028"/>
        </w:numPr>
      </w:pPr>
      <w:r>
        <w:rPr>
          <w:b/>
          <w:bCs/>
        </w:rPr>
        <w:t xml:space="preserve">Taller Participativo de Consulta y Validación:</w:t>
      </w:r>
    </w:p>
    <w:p>
      <w:pPr>
        <w:pStyle w:val="Compact"/>
        <w:numPr>
          <w:ilvl w:val="1"/>
          <w:numId w:val="1032"/>
        </w:numPr>
      </w:pPr>
      <w:r>
        <w:rPr>
          <w:i/>
          <w:iCs/>
        </w:rPr>
        <w:t xml:space="preserve">Objetivo:</w:t>
      </w:r>
      <w:r>
        <w:t xml:space="preserve"> </w:t>
      </w:r>
      <w:r>
        <w:t xml:space="preserve">Someter a consideración de los equipos docentes y autoridades departamentales los hallazgos empíricos preliminares y la propuesta de lineamientos orientativos para una retroalimentación formativa.</w:t>
      </w:r>
    </w:p>
    <w:p>
      <w:pPr>
        <w:pStyle w:val="Compact"/>
        <w:numPr>
          <w:ilvl w:val="1"/>
          <w:numId w:val="1032"/>
        </w:numPr>
      </w:pPr>
      <w:r>
        <w:rPr>
          <w:i/>
          <w:iCs/>
        </w:rPr>
        <w:t xml:space="preserve">Instrumento:</w:t>
      </w:r>
      <w:r>
        <w:t xml:space="preserve"> </w:t>
      </w:r>
      <w:r>
        <w:t xml:space="preserve">Guía de discusión grupal y registro etnográfico de observaciones, asegurando la legitimación colegiada de las conclusiones de la investigación.</w:t>
      </w:r>
    </w:p>
    <w:p>
      <w:r>
        <w:br w:type="page"/>
      </w:r>
    </w:p>
    <w:bookmarkEnd w:id="55"/>
    <w:bookmarkStart w:id="56" w:name="X3c23ea59bf5fe8124b1bc2080a87f2723da789f"/>
    <w:p>
      <w:pPr>
        <w:pStyle w:val="Heading3"/>
        <w:keepNext/>
        <w:spacing w:before="160" w:after="40" w:line="300" w:lineRule="auto"/>
      </w:pPr>
      <w:r>
        <w:rPr>
          <w:rFonts w:ascii="Arial" w:hAnsi="Arial"/>
          <w:b/>
          <w:i/>
          <w:sz w:val="24"/>
        </w:rPr>
        <w:t xml:space="preserve">Matriz Exhaustiva de Operacionalización Metodológica</w:t>
      </w:r>
    </w:p>
    <w:p>
      <w:pPr>
        <w:pStyle w:val="FirstParagraph"/>
      </w:pPr>
      <w:r>
        <w:t xml:space="preserve">En estricta atención a las observaciones metodológicas de la cátedra de Seminario de Integración y Aplicación (SIA) y a los requerimientos de la Resolución CD-CURZAS N° 266/23, se presenta a continuación la matriz de operacionalización empírica. Esta matriz articula las cinco dimensiones de factibilidad con sus respectivas variables, definiciones conceptuales y operacionales, indicadores empíricos, fuentes de información e instrumentos de recolección previstos: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Variable de Estudio</w:t>
            </w:r>
          </w:p>
        </w:tc>
        <w:tc>
          <w:tcPr>
            <w:tcBorders>
              <w:bottom w:val="single" w:sz="6" w:space="0" w:color="000000"/>
            </w:tcBorders>
          </w:tcPr>
          <w:p>
            <w:pPr>
              <w:pStyle w:val="Compact"/>
              <w:jc w:val="left"/>
            </w:pPr>
            <w:r>
              <w:t xml:space="preserve">Definición Conceptual y Operacional</w:t>
            </w:r>
          </w:p>
        </w:tc>
        <w:tc>
          <w:tcPr>
            <w:tcBorders>
              <w:bottom w:val="single" w:sz="6" w:space="0" w:color="000000"/>
            </w:tcBorders>
          </w:tcPr>
          <w:p>
            <w:pPr>
              <w:pStyle w:val="Compact"/>
              <w:jc w:val="left"/>
            </w:pPr>
            <w:r>
              <w:t xml:space="preserve">Indicadores Empíricos Observables</w:t>
            </w:r>
          </w:p>
        </w:tc>
        <w:tc>
          <w:tcPr>
            <w:tcBorders>
              <w:bottom w:val="single" w:sz="6" w:space="0" w:color="000000"/>
            </w:tcBorders>
          </w:tcPr>
          <w:p>
            <w:pPr>
              <w:pStyle w:val="Compact"/>
              <w:jc w:val="left"/>
            </w:pPr>
            <w:r>
              <w:t xml:space="preserve">Fuente de Información e Instrumento</w:t>
            </w:r>
          </w:p>
        </w:tc>
      </w:tr>
      <w:tr>
        <w:tc>
          <w:tcPr/>
          <w:p>
            <w:pPr>
              <w:pStyle w:val="Compact"/>
              <w:jc w:val="left"/>
            </w:pPr>
            <w:r>
              <w:rPr>
                <w:b/>
                <w:bCs/>
              </w:rPr>
              <w:t xml:space="preserve">1. Dimensión Normativa y Estatutaria</w:t>
            </w:r>
          </w:p>
        </w:tc>
        <w:tc>
          <w:tcPr/>
          <w:p>
            <w:pPr>
              <w:pStyle w:val="Compact"/>
              <w:jc w:val="left"/>
            </w:pPr>
            <w:r>
              <w:t xml:space="preserve">Compatibilidad estatutaria y armonización normativa</w:t>
            </w:r>
          </w:p>
        </w:tc>
        <w:tc>
          <w:tcPr/>
          <w:p>
            <w:pPr>
              <w:pStyle w:val="Compact"/>
              <w:jc w:val="left"/>
            </w:pPr>
            <w:r>
              <w:t xml:space="preserve">Grado de adecuación jurídica del modelo 360° con el Estatuto UNCo (Ord. CS N° 0988/2025), el Reglamento de Carrera Docente (Ord. CS N° 0910/1997) y el CCT Docente (Decreto PEN N° 1246/2015).</w:t>
            </w:r>
          </w:p>
        </w:tc>
        <w:tc>
          <w:tcPr/>
          <w:p>
            <w:pPr>
              <w:pStyle w:val="Compact"/>
              <w:jc w:val="left"/>
            </w:pPr>
            <w:r>
              <w:t xml:space="preserve">* Nivel de coincidencia normativa con informes anuales y evaluaciones cuatrienales.</w:t>
            </w:r>
            <w:r>
              <w:t xml:space="preserve">Preservación del derecho a la estabilidad laboral.</w:t>
            </w:r>
            <w:r>
              <w:t xml:space="preserve">Existencia de antecedentes normativos de autoevaluación institucional.</w:t>
            </w:r>
          </w:p>
        </w:tc>
        <w:tc>
          <w:tcPr/>
          <w:p>
            <w:pPr>
              <w:pStyle w:val="Compact"/>
              <w:jc w:val="left"/>
            </w:pPr>
            <w:r>
              <w:t xml:space="preserve">Estatuto UNCo, Ord. CS N° 0910/1997, Decreto PEN N° 1246/2015.</w:t>
            </w:r>
            <w:r>
              <w:t xml:space="preserve">Instrumento: Ficha matriz de análisis documental.*</w:t>
            </w:r>
          </w:p>
        </w:tc>
      </w:tr>
      <w:tr>
        <w:tc>
          <w:tcPr/>
          <w:p>
            <w:pPr>
              <w:pStyle w:val="Compact"/>
            </w:pPr>
          </w:p>
        </w:tc>
        <w:tc>
          <w:tcPr/>
          <w:p>
            <w:pPr>
              <w:pStyle w:val="Compact"/>
              <w:jc w:val="left"/>
            </w:pPr>
            <w:r>
              <w:t xml:space="preserve">Carácter formativo y no sumatividad</w:t>
            </w:r>
          </w:p>
        </w:tc>
        <w:tc>
          <w:tcPr/>
          <w:p>
            <w:pPr>
              <w:pStyle w:val="Compact"/>
              <w:jc w:val="left"/>
            </w:pPr>
            <w:r>
              <w:t xml:space="preserve">Resguardo jurídico e institucional que garantiza que los reportes 360° no integren legajos sumativos ni incidan en jurados cuatrienales de permanencia.</w:t>
            </w:r>
          </w:p>
        </w:tc>
        <w:tc>
          <w:tcPr/>
          <w:p>
            <w:pPr>
              <w:pStyle w:val="Compact"/>
              <w:jc w:val="left"/>
            </w:pPr>
            <w:r>
              <w:t xml:space="preserve">* Cláusula explícita de confidencialidad y desvinculación sumativa.</w:t>
            </w:r>
            <w:r>
              <w:t xml:space="preserve">Destino exclusivo de reportes al perfeccionamiento docente individual y al Art. 76.</w:t>
            </w:r>
          </w:p>
        </w:tc>
        <w:tc>
          <w:tcPr/>
          <w:p>
            <w:pPr>
              <w:pStyle w:val="Compact"/>
              <w:jc w:val="left"/>
            </w:pPr>
            <w:r>
              <w:t xml:space="preserve">Reglamentación de carrera docente y CCT.</w:t>
            </w:r>
            <w:r>
              <w:t xml:space="preserve">Instrumento: Matriz jurídica y entrevistas a paritarios.*</w:t>
            </w:r>
          </w:p>
        </w:tc>
      </w:tr>
      <w:tr>
        <w:tc>
          <w:tcPr/>
          <w:p>
            <w:pPr>
              <w:pStyle w:val="Compact"/>
              <w:jc w:val="left"/>
            </w:pPr>
            <w:r>
              <w:rPr>
                <w:b/>
                <w:bCs/>
              </w:rPr>
              <w:t xml:space="preserve">2. Dimensión Técnica e Instrumental</w:t>
            </w:r>
          </w:p>
        </w:tc>
        <w:tc>
          <w:tcPr/>
          <w:p>
            <w:pPr>
              <w:pStyle w:val="Compact"/>
              <w:jc w:val="left"/>
            </w:pPr>
            <w:r>
              <w:t xml:space="preserve">Plataforma tecnológica y usabilidad digital</w:t>
            </w:r>
          </w:p>
        </w:tc>
        <w:tc>
          <w:tcPr/>
          <w:p>
            <w:pPr>
              <w:pStyle w:val="Compact"/>
              <w:jc w:val="left"/>
            </w:pPr>
            <w:r>
              <w:t xml:space="preserve">Disponibilidad y adaptabilidad de plataformas informáticas institucionales (Campus Moodle / SIU) para alojar cuestionarios 360°.</w:t>
            </w:r>
          </w:p>
        </w:tc>
        <w:tc>
          <w:tcPr/>
          <w:p>
            <w:pPr>
              <w:pStyle w:val="Compact"/>
              <w:jc w:val="left"/>
            </w:pPr>
            <w:r>
              <w:t xml:space="preserve">* Accesibilidad técnica en sede Viedma y Nodos Territoriales.</w:t>
            </w:r>
            <w:r>
              <w:t xml:space="preserve">Interfaz intuitiva y tiempo promedio de respuesta (menor a 15 min).</w:t>
            </w:r>
            <w:r>
              <w:t xml:space="preserve">Nivel de compatibilidad con conectividad asincrónica.</w:t>
            </w:r>
          </w:p>
        </w:tc>
        <w:tc>
          <w:tcPr/>
          <w:p>
            <w:pPr>
              <w:pStyle w:val="Compact"/>
              <w:jc w:val="left"/>
            </w:pPr>
            <w:r>
              <w:t xml:space="preserve">Autoridades de sistemas y usuarios.</w:t>
            </w:r>
            <w:r>
              <w:t xml:space="preserve">Instrumento: Cuestionario Likert y guía de entrevista técnica.*</w:t>
            </w:r>
          </w:p>
        </w:tc>
      </w:tr>
      <w:tr>
        <w:tc>
          <w:tcPr/>
          <w:p>
            <w:pPr>
              <w:pStyle w:val="Compact"/>
            </w:pPr>
          </w:p>
        </w:tc>
        <w:tc>
          <w:tcPr/>
          <w:p>
            <w:pPr>
              <w:pStyle w:val="Compact"/>
              <w:jc w:val="left"/>
            </w:pPr>
            <w:r>
              <w:t xml:space="preserve">Anonimato y seguridad algorítmica</w:t>
            </w:r>
          </w:p>
        </w:tc>
        <w:tc>
          <w:tcPr/>
          <w:p>
            <w:pPr>
              <w:pStyle w:val="Compact"/>
              <w:jc w:val="left"/>
            </w:pPr>
            <w:r>
              <w:t xml:space="preserve">Capacidad técnica del sistema para disociar irreversiblemente la identidad de evaluadores y evaluados, evitando trazabilidad.</w:t>
            </w:r>
          </w:p>
        </w:tc>
        <w:tc>
          <w:tcPr/>
          <w:p>
            <w:pPr>
              <w:pStyle w:val="Compact"/>
              <w:jc w:val="left"/>
            </w:pPr>
            <w:r>
              <w:t xml:space="preserve">* Mecanismos de agregación temática que impiden identificar docentes en cátedras unipersonales.</w:t>
            </w:r>
            <w:r>
              <w:t xml:space="preserve">Protocolos de encriptación y no captura de direcciones IP/correos.</w:t>
            </w:r>
          </w:p>
        </w:tc>
        <w:tc>
          <w:tcPr/>
          <w:p>
            <w:pPr>
              <w:pStyle w:val="Compact"/>
              <w:jc w:val="left"/>
            </w:pPr>
            <w:r>
              <w:t xml:space="preserve">Especialistas informáticos y docentes.</w:t>
            </w:r>
            <w:r>
              <w:t xml:space="preserve">Instrumento: Matriz técnica y prueba piloto.*</w:t>
            </w:r>
          </w:p>
        </w:tc>
      </w:tr>
      <w:tr>
        <w:tc>
          <w:tcPr/>
          <w:p>
            <w:pPr>
              <w:pStyle w:val="Compact"/>
            </w:pPr>
          </w:p>
        </w:tc>
        <w:tc>
          <w:tcPr/>
          <w:p>
            <w:pPr>
              <w:pStyle w:val="Compact"/>
              <w:jc w:val="left"/>
            </w:pPr>
            <w:r>
              <w:t xml:space="preserve">Mitigación de fatiga evaluativa</w:t>
            </w:r>
          </w:p>
        </w:tc>
        <w:tc>
          <w:tcPr/>
          <w:p>
            <w:pPr>
              <w:pStyle w:val="Compact"/>
              <w:jc w:val="left"/>
            </w:pPr>
            <w:r>
              <w:t xml:space="preserve">Estrategias instrumentales para evitar sobrecarga de cuestionarios en estudiantes y docentes en materias compartidas.</w:t>
            </w:r>
          </w:p>
        </w:tc>
        <w:tc>
          <w:tcPr/>
          <w:p>
            <w:pPr>
              <w:pStyle w:val="Compact"/>
              <w:jc w:val="left"/>
            </w:pPr>
            <w:r>
              <w:t xml:space="preserve">* Número máximo de reactivos por formulario (hasta 20 ítems).</w:t>
            </w:r>
            <w:r>
              <w:t xml:space="preserve">Frecuencia de administración (una aplicación anual diagnóstica).</w:t>
            </w:r>
          </w:p>
        </w:tc>
        <w:tc>
          <w:tcPr/>
          <w:p>
            <w:pPr>
              <w:pStyle w:val="Compact"/>
              <w:jc w:val="left"/>
            </w:pPr>
            <w:r>
              <w:t xml:space="preserve">Estudiantes y docentes del Departamento.</w:t>
            </w:r>
            <w:r>
              <w:t xml:space="preserve">Instrumento: Cuestionario Likert y entrevistas.*</w:t>
            </w:r>
          </w:p>
        </w:tc>
      </w:tr>
      <w:tr>
        <w:tc>
          <w:tcPr/>
          <w:p>
            <w:pPr>
              <w:pStyle w:val="Compact"/>
              <w:jc w:val="left"/>
            </w:pPr>
            <w:r>
              <w:rPr>
                <w:b/>
                <w:bCs/>
              </w:rPr>
              <w:t xml:space="preserve">3. Dimensión Organizacional y Procedimental</w:t>
            </w:r>
          </w:p>
        </w:tc>
        <w:tc>
          <w:tcPr/>
          <w:p>
            <w:pPr>
              <w:pStyle w:val="Compact"/>
              <w:jc w:val="left"/>
            </w:pPr>
            <w:r>
              <w:t xml:space="preserve">Capacidad de gestión departamental</w:t>
            </w:r>
          </w:p>
        </w:tc>
        <w:tc>
          <w:tcPr/>
          <w:p>
            <w:pPr>
              <w:pStyle w:val="Compact"/>
              <w:jc w:val="left"/>
            </w:pPr>
            <w:r>
              <w:t xml:space="preserve">Recursos administrativos y organizativos del Departamento para procesar los diagnósticos y coordinar devoluciones.</w:t>
            </w:r>
          </w:p>
        </w:tc>
        <w:tc>
          <w:tcPr/>
          <w:p>
            <w:pPr>
              <w:pStyle w:val="Compact"/>
              <w:jc w:val="left"/>
            </w:pPr>
            <w:r>
              <w:t xml:space="preserve">* Circuitos administrativos definidos para consolidar demandas formativas.</w:t>
            </w:r>
            <w:r>
              <w:t xml:space="preserve">Tiempos de procesamiento y emisión oportuna de reportes globales.</w:t>
            </w:r>
          </w:p>
        </w:tc>
        <w:tc>
          <w:tcPr/>
          <w:p>
            <w:pPr>
              <w:pStyle w:val="Compact"/>
              <w:jc w:val="left"/>
            </w:pPr>
            <w:r>
              <w:t xml:space="preserve">Dirección del Departamento y consejeros.</w:t>
            </w:r>
            <w:r>
              <w:t xml:space="preserve">Instrumento: Entrevista semiestructurada.*</w:t>
            </w:r>
          </w:p>
        </w:tc>
      </w:tr>
      <w:tr>
        <w:tc>
          <w:tcPr/>
          <w:p>
            <w:pPr>
              <w:pStyle w:val="Compact"/>
            </w:pPr>
          </w:p>
        </w:tc>
        <w:tc>
          <w:tcPr/>
          <w:p>
            <w:pPr>
              <w:pStyle w:val="Compact"/>
              <w:jc w:val="left"/>
            </w:pPr>
            <w:r>
              <w:t xml:space="preserve">Articulación con el Programa de Formación (Art. 76)</w:t>
            </w:r>
          </w:p>
        </w:tc>
        <w:tc>
          <w:tcPr/>
          <w:p>
            <w:pPr>
              <w:pStyle w:val="Compact"/>
              <w:jc w:val="left"/>
            </w:pPr>
            <w:r>
              <w:t xml:space="preserve">Vinculación efectiva entre los perfiles diagnósticos agregados y la planificación de cursos de capacitación docente continua.</w:t>
            </w:r>
          </w:p>
        </w:tc>
        <w:tc>
          <w:tcPr/>
          <w:p>
            <w:pPr>
              <w:pStyle w:val="Compact"/>
              <w:jc w:val="left"/>
            </w:pPr>
            <w:r>
              <w:t xml:space="preserve">* Cantidad de áreas temáticas prioritarias transferidas al Programa Anual.</w:t>
            </w:r>
            <w:r>
              <w:t xml:space="preserve">Grado de coherencia entre necesidades docentes y oferta formativa anual.</w:t>
            </w:r>
          </w:p>
        </w:tc>
        <w:tc>
          <w:tcPr/>
          <w:p>
            <w:pPr>
              <w:pStyle w:val="Compact"/>
              <w:jc w:val="left"/>
            </w:pPr>
            <w:r>
              <w:t xml:space="preserve">Actas de Consejo Departamental y programas anuales.</w:t>
            </w:r>
            <w:r>
              <w:t xml:space="preserve">Instrumento: Análisis documental y entrevistas.*</w:t>
            </w:r>
          </w:p>
        </w:tc>
      </w:tr>
      <w:tr>
        <w:tc>
          <w:tcPr/>
          <w:p>
            <w:pPr>
              <w:pStyle w:val="Compact"/>
              <w:jc w:val="left"/>
            </w:pPr>
            <w:r>
              <w:rPr>
                <w:b/>
                <w:bCs/>
              </w:rPr>
              <w:t xml:space="preserve">4. Dimensión Cultural y Actitudinal</w:t>
            </w:r>
          </w:p>
        </w:tc>
        <w:tc>
          <w:tcPr/>
          <w:p>
            <w:pPr>
              <w:pStyle w:val="Compact"/>
              <w:jc w:val="left"/>
            </w:pPr>
            <w:r>
              <w:t xml:space="preserve">Confianza intersubjetiva y clima laboral</w:t>
            </w:r>
          </w:p>
        </w:tc>
        <w:tc>
          <w:tcPr/>
          <w:p>
            <w:pPr>
              <w:pStyle w:val="Compact"/>
              <w:jc w:val="left"/>
            </w:pPr>
            <w:r>
              <w:t xml:space="preserve">Percepción de seguridad psicológica, transparencia y ausencia de represalias en el cuerpo docente ante la coevaluación.</w:t>
            </w:r>
          </w:p>
        </w:tc>
        <w:tc>
          <w:tcPr/>
          <w:p>
            <w:pPr>
              <w:pStyle w:val="Compact"/>
              <w:jc w:val="left"/>
            </w:pPr>
            <w:r>
              <w:t xml:space="preserve">* Nivel de confianza declarado en el destino formativo de los datos.</w:t>
            </w:r>
            <w:r>
              <w:t xml:space="preserve">Predisposición favorable a recibir devoluciones constructivas de pares y alumnos.</w:t>
            </w:r>
          </w:p>
        </w:tc>
        <w:tc>
          <w:tcPr/>
          <w:p>
            <w:pPr>
              <w:pStyle w:val="Compact"/>
              <w:jc w:val="left"/>
            </w:pPr>
            <w:r>
              <w:t xml:space="preserve">Docentes de diversas dedicaciones.</w:t>
            </w:r>
            <w:r>
              <w:t xml:space="preserve">Instrumento: Cuestionario Likert y entrevistas.*</w:t>
            </w:r>
          </w:p>
        </w:tc>
      </w:tr>
      <w:tr>
        <w:tc>
          <w:tcPr/>
          <w:p>
            <w:pPr>
              <w:pStyle w:val="Compact"/>
            </w:pPr>
          </w:p>
        </w:tc>
        <w:tc>
          <w:tcPr/>
          <w:p>
            <w:pPr>
              <w:pStyle w:val="Compact"/>
              <w:jc w:val="left"/>
            </w:pPr>
            <w:r>
              <w:t xml:space="preserve">Disposición reflexiva y autoevaluación</w:t>
            </w:r>
          </w:p>
        </w:tc>
        <w:tc>
          <w:tcPr/>
          <w:p>
            <w:pPr>
              <w:pStyle w:val="Compact"/>
              <w:jc w:val="left"/>
            </w:pPr>
            <w:r>
              <w:t xml:space="preserve">Grado de valoración otorgado por los docentes a la autorreflexión sistemática sobre su propia práctica pedagógica.</w:t>
            </w:r>
          </w:p>
        </w:tc>
        <w:tc>
          <w:tcPr/>
          <w:p>
            <w:pPr>
              <w:pStyle w:val="Compact"/>
              <w:jc w:val="left"/>
            </w:pPr>
            <w:r>
              <w:t xml:space="preserve">* Frecuencia de prácticas autoevaluativas habituales.</w:t>
            </w:r>
            <w:r>
              <w:t xml:space="preserve">Reconocimiento de la utilidad formativa de confrontar autopercepción con miradas externas.</w:t>
            </w:r>
          </w:p>
        </w:tc>
        <w:tc>
          <w:tcPr/>
          <w:p>
            <w:pPr>
              <w:pStyle w:val="Compact"/>
              <w:jc w:val="left"/>
            </w:pPr>
            <w:r>
              <w:t xml:space="preserve">Docentes regulares e interinos.</w:t>
            </w:r>
            <w:r>
              <w:t xml:space="preserve">Instrumento: Cuestionario Likert y entrevistas.*</w:t>
            </w:r>
          </w:p>
        </w:tc>
      </w:tr>
      <w:tr>
        <w:tc>
          <w:tcPr/>
          <w:p>
            <w:pPr>
              <w:pStyle w:val="Compact"/>
            </w:pPr>
          </w:p>
        </w:tc>
        <w:tc>
          <w:tcPr/>
          <w:p>
            <w:pPr>
              <w:pStyle w:val="Compact"/>
              <w:jc w:val="left"/>
            </w:pPr>
            <w:r>
              <w:t xml:space="preserve">Madurez evaluativa estudiantil</w:t>
            </w:r>
          </w:p>
        </w:tc>
        <w:tc>
          <w:tcPr/>
          <w:p>
            <w:pPr>
              <w:pStyle w:val="Compact"/>
              <w:jc w:val="left"/>
            </w:pPr>
            <w:r>
              <w:t xml:space="preserve">Compromiso ético y formativo de los estudiantes para emitir juicios pedagógicos constructivos y fundamentados.</w:t>
            </w:r>
          </w:p>
        </w:tc>
        <w:tc>
          <w:tcPr/>
          <w:p>
            <w:pPr>
              <w:pStyle w:val="Compact"/>
              <w:jc w:val="left"/>
            </w:pPr>
            <w:r>
              <w:t xml:space="preserve">* Percepción docente sobre la seriedad del juicio estudiantil.</w:t>
            </w:r>
            <w:r>
              <w:t xml:space="preserve">Valoración estudiantil del feedback como canal de mejora académica (no punitivo).</w:t>
            </w:r>
          </w:p>
        </w:tc>
        <w:tc>
          <w:tcPr/>
          <w:p>
            <w:pPr>
              <w:pStyle w:val="Compact"/>
              <w:jc w:val="left"/>
            </w:pPr>
            <w:r>
              <w:t xml:space="preserve">Estudiantes de LAP y CCC en RRHH.</w:t>
            </w:r>
            <w:r>
              <w:t xml:space="preserve">Instrumento: Cuestionario Likert a estudiantes.*</w:t>
            </w:r>
          </w:p>
        </w:tc>
      </w:tr>
      <w:tr>
        <w:tc>
          <w:tcPr/>
          <w:p>
            <w:pPr>
              <w:pStyle w:val="Compact"/>
              <w:jc w:val="left"/>
            </w:pPr>
            <w:r>
              <w:rPr>
                <w:b/>
                <w:bCs/>
              </w:rPr>
              <w:t xml:space="preserve">5. Dimensión de Gobernanza Multinivel</w:t>
            </w:r>
          </w:p>
        </w:tc>
        <w:tc>
          <w:tcPr/>
          <w:p>
            <w:pPr>
              <w:pStyle w:val="Compact"/>
              <w:jc w:val="left"/>
            </w:pPr>
            <w:r>
              <w:t xml:space="preserve">Legitimación en el cogobierno colegiado</w:t>
            </w:r>
          </w:p>
        </w:tc>
        <w:tc>
          <w:tcPr/>
          <w:p>
            <w:pPr>
              <w:pStyle w:val="Compact"/>
              <w:jc w:val="left"/>
            </w:pPr>
            <w:r>
              <w:t xml:space="preserve">Viabilidad institucional para deliberar y aprobar el dispositivo 360° en el Consejo Departamental y Consejo Directivo del CURZAS.</w:t>
            </w:r>
          </w:p>
        </w:tc>
        <w:tc>
          <w:tcPr/>
          <w:p>
            <w:pPr>
              <w:pStyle w:val="Compact"/>
              <w:jc w:val="left"/>
            </w:pPr>
            <w:r>
              <w:t xml:space="preserve">* Grado de consenso previo entre representantes de los claustros docentes y estudiantiles.</w:t>
            </w:r>
            <w:r>
              <w:t xml:space="preserve">Existencia de espacios de debate sobre innovación evaluativa en órganos colegiados.</w:t>
            </w:r>
          </w:p>
        </w:tc>
        <w:tc>
          <w:tcPr/>
          <w:p>
            <w:pPr>
              <w:pStyle w:val="Compact"/>
              <w:jc w:val="left"/>
            </w:pPr>
            <w:r>
              <w:t xml:space="preserve">Consejeros departamentales y directivos.</w:t>
            </w:r>
            <w:r>
              <w:t xml:space="preserve">Instrumento: Entrevistas a consejeros y análisis de actas.*</w:t>
            </w:r>
          </w:p>
        </w:tc>
      </w:tr>
      <w:tr>
        <w:tc>
          <w:tcPr/>
          <w:p>
            <w:pPr>
              <w:pStyle w:val="Compact"/>
            </w:pPr>
          </w:p>
        </w:tc>
        <w:tc>
          <w:tcPr/>
          <w:p>
            <w:pPr>
              <w:pStyle w:val="Compact"/>
              <w:jc w:val="left"/>
            </w:pPr>
            <w:r>
              <w:t xml:space="preserve">Concertación paritaria y poder compartido</w:t>
            </w:r>
          </w:p>
        </w:tc>
        <w:tc>
          <w:tcPr/>
          <w:p>
            <w:pPr>
              <w:pStyle w:val="Compact"/>
              <w:jc w:val="left"/>
            </w:pPr>
            <w:r>
              <w:t xml:space="preserve">Negociación con la representación gremial docente (ADUNC) sobre variables de control compartido (reglas, voluntariedad y confidencialidad).</w:t>
            </w:r>
          </w:p>
        </w:tc>
        <w:tc>
          <w:tcPr/>
          <w:p>
            <w:pPr>
              <w:pStyle w:val="Compact"/>
              <w:jc w:val="left"/>
            </w:pPr>
            <w:r>
              <w:t xml:space="preserve">* Aval explícito de representantes gremiales docentes.</w:t>
            </w:r>
            <w:r>
              <w:t xml:space="preserve">Incorporación de salvaguardas paritarias en el acta paritaria local de implementación.</w:t>
            </w:r>
          </w:p>
        </w:tc>
        <w:tc>
          <w:tcPr/>
          <w:p>
            <w:pPr>
              <w:pStyle w:val="Compact"/>
              <w:jc w:val="left"/>
            </w:pPr>
            <w:r>
              <w:t xml:space="preserve">Representantes gremiales paritarios.</w:t>
            </w:r>
            <w:r>
              <w:t xml:space="preserve">Instrumento: Guía de entrevista paritaria.*</w:t>
            </w:r>
          </w:p>
        </w:tc>
      </w:tr>
    </w:tbl>
    <w:p>
      <w:pPr>
        <w:pStyle w:val="BodyText"/>
      </w:pPr>
      <w:r>
        <w:rPr>
          <w:i/>
          <w:iCs/>
        </w:rPr>
        <w:t xml:space="preserve">Nota.</w:t>
      </w:r>
      <w:r>
        <w:t xml:space="preserve"> </w:t>
      </w:r>
      <w:r>
        <w:t xml:space="preserve">Elaboración propia en función del marco teórico de Longo (2006), Cao y Blutman (2023), Matus (1993) y la normativa institucional de la UNCo.</w:t>
      </w:r>
    </w:p>
    <w:p>
      <w:r>
        <w:br w:type="page"/>
      </w:r>
    </w:p>
    <w:bookmarkEnd w:id="56"/>
    <w:bookmarkStart w:id="57" w:name="X4943b4b9b915c4730befc2d442d76167a2a4fae"/>
    <w:p>
      <w:pPr>
        <w:pStyle w:val="Heading3"/>
        <w:keepNext/>
        <w:spacing w:before="160" w:after="40" w:line="300" w:lineRule="auto"/>
      </w:pPr>
      <w:r>
        <w:rPr>
          <w:rFonts w:ascii="Arial" w:hAnsi="Arial"/>
          <w:b/>
          <w:i/>
          <w:sz w:val="24"/>
        </w:rPr>
        <w:t xml:space="preserve">Fases Operativas y Procedimientos del Trabajo de Campo</w:t>
      </w:r>
    </w:p>
    <w:p>
      <w:pPr>
        <w:pStyle w:val="FirstParagraph"/>
      </w:pPr>
      <w:r>
        <w:t xml:space="preserve">El trabajo de campo se estructura en cinco fases operativas articuladas secuencialmente a lo largo del cronograma de investigación:</w:t>
      </w:r>
    </w:p>
    <w:p>
      <w:pPr>
        <w:pStyle w:val="Compact"/>
        <w:numPr>
          <w:ilvl w:val="0"/>
          <w:numId w:val="1033"/>
        </w:numPr>
      </w:pPr>
      <w:r>
        <w:rPr>
          <w:b/>
          <w:bCs/>
        </w:rPr>
        <w:t xml:space="preserve">Fase I: Preparatoria, Institucional y Pilotaje (Meses 1–3):</w:t>
      </w:r>
    </w:p>
    <w:p>
      <w:pPr>
        <w:pStyle w:val="Compact"/>
        <w:numPr>
          <w:ilvl w:val="1"/>
          <w:numId w:val="1034"/>
        </w:numPr>
      </w:pPr>
      <w:r>
        <w:t xml:space="preserve">Gestión de notas institucionales formales solicitando el aval académico de la Dirección del Departamento de Administración Pública y del Decanato del CURZAS.</w:t>
      </w:r>
    </w:p>
    <w:p>
      <w:pPr>
        <w:pStyle w:val="Compact"/>
        <w:numPr>
          <w:ilvl w:val="1"/>
          <w:numId w:val="1034"/>
        </w:numPr>
      </w:pPr>
      <w:r>
        <w:t xml:space="preserve">Reunión informativa con la representación gremial docente (ADUNC) y el Centro de Estudiantes para explicitar los fines formativos, la estricta voluntariedad y el resguardo de confidencialidad del proyecto.</w:t>
      </w:r>
    </w:p>
    <w:p>
      <w:pPr>
        <w:pStyle w:val="Compact"/>
        <w:numPr>
          <w:ilvl w:val="1"/>
          <w:numId w:val="1034"/>
        </w:numPr>
      </w:pPr>
      <w:r>
        <w:t xml:space="preserve">Diseño preliminar de las guías de entrevista y del cuestionario diagnóstico multiactoral.</w:t>
      </w:r>
    </w:p>
    <w:p>
      <w:pPr>
        <w:pStyle w:val="Compact"/>
        <w:numPr>
          <w:ilvl w:val="1"/>
          <w:numId w:val="1034"/>
        </w:numPr>
      </w:pPr>
      <w:r>
        <w:t xml:space="preserve">Realización de una prueba piloto instrumental con 4 docentes y 10 estudiantes para calibrar la claridad de los reactivos, el tiempo de respuesta y la pertinencia de las escalas Likert.</w:t>
      </w:r>
    </w:p>
    <w:p>
      <w:pPr>
        <w:pStyle w:val="Compact"/>
        <w:numPr>
          <w:ilvl w:val="0"/>
          <w:numId w:val="1033"/>
        </w:numPr>
      </w:pPr>
      <w:r>
        <w:rPr>
          <w:b/>
          <w:bCs/>
        </w:rPr>
        <w:t xml:space="preserve">Fase II: Relevamiento Normativo y Trabajo Cualitativo Inicial (Meses 4–6):</w:t>
      </w:r>
    </w:p>
    <w:p>
      <w:pPr>
        <w:pStyle w:val="Compact"/>
        <w:numPr>
          <w:ilvl w:val="1"/>
          <w:numId w:val="1035"/>
        </w:numPr>
      </w:pPr>
      <w:r>
        <w:t xml:space="preserve">Sistematización documental de la normativa de carrera docente, resoluciones de docencia híbrida (Res. CD-CURZA N° 196/2022) y programas de formación vigentes (Art. 76 del Estatuto).</w:t>
      </w:r>
    </w:p>
    <w:p>
      <w:pPr>
        <w:pStyle w:val="Compact"/>
        <w:numPr>
          <w:ilvl w:val="1"/>
          <w:numId w:val="1035"/>
        </w:numPr>
      </w:pPr>
      <w:r>
        <w:t xml:space="preserve">Realización de entrevistas semiestructuradas a autoridades académicas, directores de carrera, consejeros departamentales y dirigentes gremiales paritarios.</w:t>
      </w:r>
    </w:p>
    <w:p>
      <w:pPr>
        <w:pStyle w:val="Compact"/>
        <w:numPr>
          <w:ilvl w:val="1"/>
          <w:numId w:val="1035"/>
        </w:numPr>
      </w:pPr>
      <w:r>
        <w:t xml:space="preserve">Desgrabación, transcripción literal y codificación temática preliminar de los testimonios.</w:t>
      </w:r>
    </w:p>
    <w:p>
      <w:pPr>
        <w:pStyle w:val="Compact"/>
        <w:numPr>
          <w:ilvl w:val="0"/>
          <w:numId w:val="1033"/>
        </w:numPr>
      </w:pPr>
      <w:r>
        <w:rPr>
          <w:b/>
          <w:bCs/>
        </w:rPr>
        <w:t xml:space="preserve">Fase III: Relevamiento Cuantitativo en Sede Viedma y Nodos Territoriales (Meses 7–9):</w:t>
      </w:r>
    </w:p>
    <w:p>
      <w:pPr>
        <w:pStyle w:val="Compact"/>
        <w:numPr>
          <w:ilvl w:val="1"/>
          <w:numId w:val="1036"/>
        </w:numPr>
      </w:pPr>
      <w:r>
        <w:t xml:space="preserve">Parametrización y lanzamiento del cuestionario diagnóstico digital en plataformas institucionales seguras.</w:t>
      </w:r>
    </w:p>
    <w:p>
      <w:pPr>
        <w:pStyle w:val="Compact"/>
        <w:numPr>
          <w:ilvl w:val="1"/>
          <w:numId w:val="1036"/>
        </w:numPr>
      </w:pPr>
      <w:r>
        <w:t xml:space="preserve">Envío de invitaciones institucionales y recordatorios a docentes y estudiantes de las asignaturas seleccionadas de la Licenciatura en Administración Pública y del Ciclo de Complementación Curricular de la Licenciatura en Gestión de Recursos Humanos.</w:t>
      </w:r>
    </w:p>
    <w:p>
      <w:pPr>
        <w:pStyle w:val="Compact"/>
        <w:numPr>
          <w:ilvl w:val="1"/>
          <w:numId w:val="1036"/>
        </w:numPr>
      </w:pPr>
      <w:r>
        <w:t xml:space="preserve">Administración diferenciada del relevamiento en la Red de Nodos Territoriales de la Línea Sur y la Costa Atlántica (Sierra Grande, Valcheta, Los Menucos y Ramos Mexía) mediante tutorías sincrónicas virtuales y acompañamiento digital.</w:t>
      </w:r>
    </w:p>
    <w:p>
      <w:pPr>
        <w:pStyle w:val="Compact"/>
        <w:numPr>
          <w:ilvl w:val="1"/>
          <w:numId w:val="1036"/>
        </w:numPr>
      </w:pPr>
      <w:r>
        <w:t xml:space="preserve">Cierre del relevamiento cuantitativo y control de calidad de la base de datos anonimizada.</w:t>
      </w:r>
    </w:p>
    <w:p>
      <w:pPr>
        <w:pStyle w:val="Compact"/>
        <w:numPr>
          <w:ilvl w:val="0"/>
          <w:numId w:val="1033"/>
        </w:numPr>
      </w:pPr>
      <w:r>
        <w:rPr>
          <w:b/>
          <w:bCs/>
        </w:rPr>
        <w:t xml:space="preserve">Fase IV: Procesamiento Integrado, Triangulación y Matriz de Factibilidad (Meses 10–12):</w:t>
      </w:r>
    </w:p>
    <w:p>
      <w:pPr>
        <w:pStyle w:val="Compact"/>
        <w:numPr>
          <w:ilvl w:val="1"/>
          <w:numId w:val="1037"/>
        </w:numPr>
      </w:pPr>
      <w:r>
        <w:t xml:space="preserve">Procesamiento estadístico descriptivo y correlacional univariado/bivariado de los datos de la encuesta (PSPP / R).</w:t>
      </w:r>
    </w:p>
    <w:p>
      <w:pPr>
        <w:pStyle w:val="Compact"/>
        <w:numPr>
          <w:ilvl w:val="1"/>
          <w:numId w:val="1037"/>
        </w:numPr>
      </w:pPr>
      <w:r>
        <w:t xml:space="preserve">Análisis de contenido temático profundo de las entrevistas cualitativas (Atlas.ti).</w:t>
      </w:r>
    </w:p>
    <w:p>
      <w:pPr>
        <w:pStyle w:val="Compact"/>
        <w:numPr>
          <w:ilvl w:val="1"/>
          <w:numId w:val="1037"/>
        </w:numPr>
      </w:pPr>
      <w:r>
        <w:t xml:space="preserve">Triangulación metodológica de fuentes (docentes, estudiantes, autoridades y sindicato) y de instrumentos (documental, entrevistas y encuestas).</w:t>
      </w:r>
    </w:p>
    <w:p>
      <w:pPr>
        <w:pStyle w:val="Compact"/>
        <w:numPr>
          <w:ilvl w:val="1"/>
          <w:numId w:val="1037"/>
        </w:numPr>
      </w:pPr>
      <w:r>
        <w:t xml:space="preserve">Construcción sintética de la matriz de balance de factibilidad en sus cinco dimensiones analíticas.</w:t>
      </w:r>
    </w:p>
    <w:p>
      <w:pPr>
        <w:pStyle w:val="Compact"/>
        <w:numPr>
          <w:ilvl w:val="0"/>
          <w:numId w:val="1033"/>
        </w:numPr>
      </w:pPr>
      <w:r>
        <w:rPr>
          <w:b/>
          <w:bCs/>
        </w:rPr>
        <w:t xml:space="preserve">Fase V: Formulación de Lineamientos y Devolución Participativa (Meses 13–15):</w:t>
      </w:r>
    </w:p>
    <w:p>
      <w:pPr>
        <w:pStyle w:val="Compact"/>
        <w:numPr>
          <w:ilvl w:val="1"/>
          <w:numId w:val="1038"/>
        </w:numPr>
      </w:pPr>
      <w:r>
        <w:t xml:space="preserve">Elaboración del borrador de lineamientos orientativos para una eventual implementación formativa del modelo 360° en el CURZAS.</w:t>
      </w:r>
    </w:p>
    <w:p>
      <w:pPr>
        <w:pStyle w:val="Compact"/>
        <w:numPr>
          <w:ilvl w:val="1"/>
          <w:numId w:val="1038"/>
        </w:numPr>
      </w:pPr>
      <w:r>
        <w:t xml:space="preserve">Realización del taller participativo de consulta y validación con los equipos docentes y directores de cátedra del Departamento.</w:t>
      </w:r>
    </w:p>
    <w:p>
      <w:pPr>
        <w:pStyle w:val="Compact"/>
        <w:numPr>
          <w:ilvl w:val="1"/>
          <w:numId w:val="1038"/>
        </w:numPr>
      </w:pPr>
      <w:r>
        <w:t xml:space="preserve">Incorporación de los aportes y observaciones surgidas del taller en la redacción definitiva del informe de Tesina de TFG.</w:t>
      </w:r>
    </w:p>
    <w:bookmarkEnd w:id="57"/>
    <w:bookmarkStart w:id="58" w:name="X2be0806b585b5e50cdca0162d80823ff151d033"/>
    <w:p>
      <w:pPr>
        <w:pStyle w:val="Heading3"/>
        <w:keepNext/>
        <w:spacing w:before="160" w:after="40" w:line="300" w:lineRule="auto"/>
      </w:pPr>
      <w:r>
        <w:rPr>
          <w:rFonts w:ascii="Arial" w:hAnsi="Arial"/>
          <w:b/>
          <w:i/>
          <w:sz w:val="24"/>
        </w:rPr>
        <w:t xml:space="preserve">Estrategias y Técnicas de Procesamiento y Análisis de la Información</w:t>
      </w:r>
    </w:p>
    <w:p>
      <w:pPr>
        <w:pStyle w:val="FirstParagraph"/>
      </w:pPr>
      <w:r>
        <w:t xml:space="preserve">Para garantizar la rigurosidad científica exigida en los estudios de posgrado y grado de la UNCo, el tratamiento de los datos empíricos se organiza según su naturaleza analítica:</w:t>
      </w:r>
    </w:p>
    <w:p>
      <w:pPr>
        <w:pStyle w:val="Compact"/>
        <w:numPr>
          <w:ilvl w:val="0"/>
          <w:numId w:val="1039"/>
        </w:numPr>
      </w:pPr>
      <w:r>
        <w:rPr>
          <w:b/>
          <w:bCs/>
        </w:rPr>
        <w:t xml:space="preserve">Tratamiento de Datos Cualitativos (Entrevistas y Documentos):</w:t>
      </w:r>
      <w:r>
        <w:t xml:space="preserve"> </w:t>
      </w:r>
      <w:r>
        <w:t xml:space="preserve">Se aplica la técnica de</w:t>
      </w:r>
      <w:r>
        <w:t xml:space="preserve"> </w:t>
      </w:r>
      <w:r>
        <w:rPr>
          <w:b/>
          <w:bCs/>
        </w:rPr>
        <w:t xml:space="preserve">análisis de contenido temático y categorial</w:t>
      </w:r>
      <w:r>
        <w:t xml:space="preserve"> </w:t>
      </w:r>
      <w:r>
        <w:t xml:space="preserve">(Bardin, 2002; Sautu, 2005)</w:t>
      </w:r>
      <w:r>
        <w:t xml:space="preserve">. Los datos textuales transcriptos se someten a un proceso de triple codificación:</w:t>
      </w:r>
    </w:p>
    <w:p>
      <w:pPr>
        <w:pStyle w:val="Compact"/>
        <w:numPr>
          <w:ilvl w:val="1"/>
          <w:numId w:val="1040"/>
        </w:numPr>
      </w:pPr>
      <w:r>
        <w:rPr>
          <w:i/>
          <w:iCs/>
        </w:rPr>
        <w:t xml:space="preserve">Codificación abierta:</w:t>
      </w:r>
      <w:r>
        <w:t xml:space="preserve"> </w:t>
      </w:r>
      <w:r>
        <w:t xml:space="preserve">Desglose del texto en unidades mínimas de significado (citas) y asignación de códigos inductivos preliminares.</w:t>
      </w:r>
    </w:p>
    <w:p>
      <w:pPr>
        <w:pStyle w:val="Compact"/>
        <w:numPr>
          <w:ilvl w:val="1"/>
          <w:numId w:val="1040"/>
        </w:numPr>
      </w:pPr>
      <w:r>
        <w:rPr>
          <w:i/>
          <w:iCs/>
        </w:rPr>
        <w:t xml:space="preserve">Codificación axial:</w:t>
      </w:r>
      <w:r>
        <w:t xml:space="preserve"> </w:t>
      </w:r>
      <w:r>
        <w:t xml:space="preserve">Agrupación de códigos en familias temáticas y categorías conceptuales vinculadas a las dimensiones de factibilidad (normativa, técnica, organizacional, cultural y gobernanza).</w:t>
      </w:r>
    </w:p>
    <w:p>
      <w:pPr>
        <w:pStyle w:val="Compact"/>
        <w:numPr>
          <w:ilvl w:val="1"/>
          <w:numId w:val="1040"/>
        </w:numPr>
      </w:pPr>
      <w:r>
        <w:rPr>
          <w:i/>
          <w:iCs/>
        </w:rPr>
        <w:t xml:space="preserve">Codificación selectiva:</w:t>
      </w:r>
      <w:r>
        <w:t xml:space="preserve"> </w:t>
      </w:r>
      <w:r>
        <w:t xml:space="preserve">Integración sistemática de las categorías en torno al eje central del problema: las condiciones sociopolíticas y técnicas para una evaluación formativa legítima en la universidad pública cogobernada.</w:t>
      </w:r>
      <w:r>
        <w:t xml:space="preserve"> </w:t>
      </w:r>
      <w:r>
        <w:t xml:space="preserve">El procedimiento se apoyará en software de análisis cualitativo asistido por computadora (CAQDAS: Atlas.ti / QDA Miner) para asegurar la trazabilidad hermenéutica de los hallazgos.</w:t>
      </w:r>
    </w:p>
    <w:p>
      <w:pPr>
        <w:pStyle w:val="Compact"/>
        <w:numPr>
          <w:ilvl w:val="0"/>
          <w:numId w:val="1039"/>
        </w:numPr>
      </w:pPr>
      <w:r>
        <w:rPr>
          <w:b/>
          <w:bCs/>
        </w:rPr>
        <w:t xml:space="preserve">Tratamiento de Datos Cuantitativos (Cuestionarios Likert):</w:t>
      </w:r>
      <w:r>
        <w:t xml:space="preserve"> </w:t>
      </w:r>
      <w:r>
        <w:t xml:space="preserve">Los datos recabados en los cuestionarios digitales se procesan mediante paquetes estadísticos de código abierto (PSPP / R):</w:t>
      </w:r>
    </w:p>
    <w:p>
      <w:pPr>
        <w:pStyle w:val="Compact"/>
        <w:numPr>
          <w:ilvl w:val="1"/>
          <w:numId w:val="1041"/>
        </w:numPr>
      </w:pPr>
      <w:r>
        <w:rPr>
          <w:i/>
          <w:iCs/>
        </w:rPr>
        <w:t xml:space="preserve">Estadística descriptiva univariada:</w:t>
      </w:r>
      <w:r>
        <w:t xml:space="preserve"> </w:t>
      </w:r>
      <w:r>
        <w:t xml:space="preserve">Cálculo de distribuciones de frecuencias absolutas y relativas (porcentajes), medidas de tendencia central (media aritmética, mediana y moda) y medidas de dispersión (desviación estándar y rango intercuartílico) para cada reactivo Likert y para cada dimensión de factibilidad.</w:t>
      </w:r>
    </w:p>
    <w:p>
      <w:pPr>
        <w:pStyle w:val="Compact"/>
        <w:numPr>
          <w:ilvl w:val="1"/>
          <w:numId w:val="1041"/>
        </w:numPr>
      </w:pPr>
      <w:r>
        <w:rPr>
          <w:i/>
          <w:iCs/>
        </w:rPr>
        <w:t xml:space="preserve">Estadística bivariada y tablas de contingencia:</w:t>
      </w:r>
      <w:r>
        <w:t xml:space="preserve"> </w:t>
      </w:r>
      <w:r>
        <w:t xml:space="preserve">Análisis cruzado entre variables sociodemográficas/institucionales (categoría docente, dedicación horaria, sede presencial vs. nodo territorial) y las dimensiones de predisposición actitudinal y confianza, evaluando asociaciones mediante pruebas no paramétricas (Rho de Spearman y Chi-cuadrado de independencia).</w:t>
      </w:r>
    </w:p>
    <w:p>
      <w:pPr>
        <w:pStyle w:val="Compact"/>
        <w:numPr>
          <w:ilvl w:val="0"/>
          <w:numId w:val="1039"/>
        </w:numPr>
      </w:pPr>
      <w:r>
        <w:rPr>
          <w:b/>
          <w:bCs/>
        </w:rPr>
        <w:t xml:space="preserve">Triangulación Metodológica Integral:</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la validez interna de la investigación descansa en la</w:t>
      </w:r>
      <w:r>
        <w:t xml:space="preserve"> </w:t>
      </w:r>
      <w:r>
        <w:rPr>
          <w:b/>
          <w:bCs/>
        </w:rPr>
        <w:t xml:space="preserve">triangulación múltiple</w:t>
      </w:r>
      <w:r>
        <w:t xml:space="preserve">:</w:t>
      </w:r>
    </w:p>
    <w:p>
      <w:pPr>
        <w:pStyle w:val="Compact"/>
        <w:numPr>
          <w:ilvl w:val="1"/>
          <w:numId w:val="1042"/>
        </w:numPr>
      </w:pPr>
      <w:r>
        <w:rPr>
          <w:i/>
          <w:iCs/>
        </w:rPr>
        <w:t xml:space="preserve">Triangulación de métodos:</w:t>
      </w:r>
      <w:r>
        <w:t xml:space="preserve"> </w:t>
      </w:r>
      <w:r>
        <w:t xml:space="preserve">Cruce analítico sistemático entre las prescripciones normativas del análisis documental, los significados emergentes de las entrevistas en profundidad y las frecuencias empíricas de los cuestionarios estandarizados.</w:t>
      </w:r>
    </w:p>
    <w:p>
      <w:pPr>
        <w:pStyle w:val="Compact"/>
        <w:numPr>
          <w:ilvl w:val="1"/>
          <w:numId w:val="1042"/>
        </w:numPr>
      </w:pPr>
      <w:r>
        <w:rPr>
          <w:i/>
          <w:iCs/>
        </w:rPr>
        <w:t xml:space="preserve">Triangulación de fuentes y actores:</w:t>
      </w:r>
      <w:r>
        <w:t xml:space="preserve"> </w:t>
      </w:r>
      <w:r>
        <w:t xml:space="preserve">Contraste dialéctico entre las valoraciones del claustro docente, la mirada de los estudiantes, la apreciación estratégica de la dirección departamental y la perspectiva sociolaboral de la conducción paritaria gremial.</w:t>
      </w:r>
    </w:p>
    <w:p>
      <w:pPr>
        <w:pStyle w:val="Compact"/>
        <w:numPr>
          <w:ilvl w:val="1"/>
          <w:numId w:val="1042"/>
        </w:numPr>
      </w:pPr>
      <w:r>
        <w:rPr>
          <w:i/>
          <w:iCs/>
        </w:rPr>
        <w:t xml:space="preserve">Triangulación teórica:</w:t>
      </w:r>
      <w:r>
        <w:t xml:space="preserve"> </w:t>
      </w:r>
      <w:r>
        <w:t xml:space="preserve">Interpretación articulada de los resultados a partir de la confluencia entre la teoría sistémica de recursos humanos</w:t>
      </w:r>
      <w:r>
        <w:t xml:space="preserve"> </w:t>
      </w:r>
      <w:r>
        <w:t xml:space="preserve">(Longo, 2006)</w:t>
      </w:r>
      <w:r>
        <w:t xml:space="preserve">, la poligobernanza institucional</w:t>
      </w:r>
      <w:r>
        <w:t xml:space="preserve"> </w:t>
      </w:r>
      <w:r>
        <w:t xml:space="preserve">(Cao &amp; Blutman, 2023)</w:t>
      </w:r>
      <w:r>
        <w:t xml:space="preserve"> </w:t>
      </w:r>
      <w:r>
        <w:t xml:space="preserve">y la planificación situacional en poder compartido</w:t>
      </w:r>
      <w:r>
        <w:t xml:space="preserve"> </w:t>
      </w:r>
      <w:r>
        <w:t xml:space="preserve">(Matus, 1993)</w:t>
      </w:r>
      <w:r>
        <w:t xml:space="preserve">.</w:t>
      </w:r>
    </w:p>
    <w:bookmarkEnd w:id="58"/>
    <w:bookmarkStart w:id="59" w:name="Xa81d5b80b0a8df523b29d8daea87bd714ddd8b7"/>
    <w:p>
      <w:pPr>
        <w:pStyle w:val="Heading3"/>
        <w:keepNext/>
        <w:spacing w:before="160" w:after="40" w:line="300" w:lineRule="auto"/>
      </w:pPr>
      <w:r>
        <w:rPr>
          <w:rFonts w:ascii="Arial" w:hAnsi="Arial"/>
          <w:b/>
          <w:i/>
          <w:sz w:val="24"/>
        </w:rPr>
        <w:t xml:space="preserve">Criterios de Rigor Científico y Consideraciones Éticas</w:t>
      </w:r>
    </w:p>
    <w:p>
      <w:pPr>
        <w:pStyle w:val="FirstParagraph"/>
      </w:pPr>
      <w:r>
        <w:t xml:space="preserve">Para satisfacer los más altos estándares de calidad metodológica en la investigación social, el proyecto adhiere a los criterios de rigor científico propuestos por</w:t>
      </w:r>
      <w:r>
        <w:t xml:space="preserve"> </w:t>
      </w:r>
      <w:r>
        <w:t xml:space="preserve">Lincoln &amp; Guba (1985)</w:t>
      </w:r>
      <w:r>
        <w:t xml:space="preserve"> </w:t>
      </w:r>
      <w:r>
        <w:t xml:space="preserve">para abordajes naturalísticos y cualitativos:</w:t>
      </w:r>
    </w:p>
    <w:p>
      <w:pPr>
        <w:pStyle w:val="Compact"/>
        <w:numPr>
          <w:ilvl w:val="0"/>
          <w:numId w:val="1043"/>
        </w:numPr>
      </w:pPr>
      <w:r>
        <w:rPr>
          <w:b/>
          <w:bCs/>
        </w:rPr>
        <w:t xml:space="preserve">Credibilidad (Validez Interna):</w:t>
      </w:r>
      <w:r>
        <w:t xml:space="preserve"> </w:t>
      </w:r>
      <w:r>
        <w:t xml:space="preserve">Garantizada a través del trabajo de campo prolongado en el bienio 2025–2026, la triangulación permanente de fuentes e instrumentos, y el chequeo reflexivo de las interpretaciones con los propios informantes en el taller participativo final.</w:t>
      </w:r>
    </w:p>
    <w:p>
      <w:pPr>
        <w:pStyle w:val="Compact"/>
        <w:numPr>
          <w:ilvl w:val="0"/>
          <w:numId w:val="1043"/>
        </w:numPr>
      </w:pPr>
      <w:r>
        <w:rPr>
          <w:b/>
          <w:bCs/>
        </w:rPr>
        <w:t xml:space="preserve">Transferibilidad (Validez Externa Situada):</w:t>
      </w:r>
      <w:r>
        <w:t xml:space="preserve"> </w:t>
      </w:r>
      <w:r>
        <w:t xml:space="preserve">Asegurada mediante una descripción densa y contextualizada del ámbito institucional del CURZAS y sus Nodos Territoriales, permitiendo que las conclusiones y lineamientos orientativos puedan servir de referencia analítica a otras unidades académicas patagónicas o universidades nacionales públicas con desafíos de expansión territorial similares.</w:t>
      </w:r>
    </w:p>
    <w:p>
      <w:pPr>
        <w:pStyle w:val="Compact"/>
        <w:numPr>
          <w:ilvl w:val="0"/>
          <w:numId w:val="1043"/>
        </w:numPr>
      </w:pPr>
      <w:r>
        <w:rPr>
          <w:b/>
          <w:bCs/>
        </w:rPr>
        <w:t xml:space="preserve">Consistencia y Dependencia (Confiabilidad):</w:t>
      </w:r>
      <w:r>
        <w:t xml:space="preserve"> </w:t>
      </w:r>
      <w:r>
        <w:t xml:space="preserve">Documentada mediante una pista de auditoría metodológica exhaustiva y transparente, que registra minuciosamente las decisiones teóricas, los criterios de muestreo, los protocolos de entrevista y las matrices de codificación empírica.</w:t>
      </w:r>
    </w:p>
    <w:p>
      <w:pPr>
        <w:pStyle w:val="Compact"/>
        <w:numPr>
          <w:ilvl w:val="0"/>
          <w:numId w:val="1043"/>
        </w:numPr>
      </w:pPr>
      <w:r>
        <w:rPr>
          <w:b/>
          <w:bCs/>
        </w:rPr>
        <w:t xml:space="preserve">Confirmabilidad (Objetividad Reflexiva):</w:t>
      </w:r>
      <w:r>
        <w:t xml:space="preserve"> </w:t>
      </w:r>
      <w:r>
        <w:t xml:space="preserve">Respaldada por la explicitación abierta del posicionamiento del investigador como estudiante del Ciclo de Complementación Curricular y Técnico Superior en Recursos Humanos, manteniendo una vigilancia epistemológica permanente para evitar que las preconcepciones personales distorsionen los juicios empíricos.</w:t>
      </w:r>
    </w:p>
    <w:p>
      <w:pPr>
        <w:pStyle w:val="FirstParagraph"/>
      </w:pPr>
      <w:r>
        <w:t xml:space="preserve">En el plano de las</w:t>
      </w:r>
      <w:r>
        <w:t xml:space="preserve"> </w:t>
      </w:r>
      <w:r>
        <w:rPr>
          <w:b/>
          <w:bCs/>
        </w:rPr>
        <w:t xml:space="preserve">Consideraciones Éticas Institucionales</w:t>
      </w:r>
      <w:r>
        <w:t xml:space="preserve">, la investigación asume un compromiso ético irrestricto, regido por las siguientes salvaguardas:</w:t>
      </w:r>
      <w:r>
        <w:t xml:space="preserve"> </w:t>
      </w:r>
      <w:r>
        <w:t xml:space="preserve">*</w:t>
      </w:r>
      <w:r>
        <w:t xml:space="preserve"> </w:t>
      </w:r>
      <w:r>
        <w:rPr>
          <w:b/>
          <w:bCs/>
        </w:rPr>
        <w:t xml:space="preserve">Protección de Datos Personales y Secreto Estadístico:</w:t>
      </w:r>
      <w:r>
        <w:t xml:space="preserve"> </w:t>
      </w:r>
      <w:r>
        <w:t xml:space="preserve">Conforme a las previsiones de la Ley Nacional N° 25.326 de Protección de los Datos Personales</w:t>
      </w:r>
      <w:r>
        <w:t xml:space="preserve"> </w:t>
      </w:r>
      <w:r>
        <w:t xml:space="preserve">(Ley N° 25.326, 2000)</w:t>
      </w:r>
      <w:r>
        <w:t xml:space="preserve">, se garantiza la estricta disociación entre las identidades de los participantes y los datos aportados, impidiendo cualquier posibilidad de rastreo o individualización de respuestas.</w:t>
      </w:r>
      <w:r>
        <w:t xml:space="preserve"> </w:t>
      </w:r>
      <w:r>
        <w:t xml:space="preserve">*</w:t>
      </w:r>
      <w:r>
        <w:t xml:space="preserve"> </w:t>
      </w:r>
      <w:r>
        <w:rPr>
          <w:b/>
          <w:bCs/>
        </w:rPr>
        <w:t xml:space="preserve">Consentimiento Informado Previo, Libre y Documentado:</w:t>
      </w:r>
      <w:r>
        <w:t xml:space="preserve"> </w:t>
      </w:r>
      <w:r>
        <w:t xml:space="preserve">Todo informante participante en entrevistas o encuestas recibirá información completa y clara sobre los objetivos de la investigación académica, firmando (o validando digitalmente) un formulario de consentimiento informado que explicita la voluntariedad de su participación y su derecho a retirarse en cualquier instancia sin perjuicio alguno.</w:t>
      </w:r>
      <w:r>
        <w:t xml:space="preserve"> </w:t>
      </w:r>
      <w:r>
        <w:t xml:space="preserve">*</w:t>
      </w:r>
      <w:r>
        <w:t xml:space="preserve"> </w:t>
      </w:r>
      <w:r>
        <w:rPr>
          <w:b/>
          <w:bCs/>
        </w:rPr>
        <w:t xml:space="preserve">Garantía Institucional de No Punitividad y No Sumatividad:</w:t>
      </w:r>
      <w:r>
        <w:t xml:space="preserve"> </w:t>
      </w:r>
      <w:r>
        <w:t xml:space="preserve">En estricto apego al Convenio Colectivo de Trabajo Docente Universitario (Decreto PEN N° 1246/2015) y a las Ordenanzas CS N° 0988/2025 y N° 0910/1997, el proyecto establece que los datos relevados tienen un fin exclusivamente formativo y de investigación diagnóstica para el TFG. Bajo ninguna circunstancia los resultados individuales formarán parte de legajos académicos, ni serán utilizados como insumos sumativos para jurados evaluadores de permanencia cuatrienal o concursos docentes, resguardando plenamente la estabilidad laboral y la libertad de cátedra.</w:t>
      </w:r>
    </w:p>
    <w:p>
      <w:r>
        <w:br w:type="page"/>
      </w:r>
    </w:p>
    <w:bookmarkEnd w:id="59"/>
    <w:bookmarkEnd w:id="60"/>
    <w:bookmarkStart w:id="61"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cronograma del proyecto de TFG se organiza en un horizonte temporal de 18 meses, estructurado en ocho etapas bimestrales que abarcan desde la formulación y aprobación del proyecto hasta la redacción final y defensa oral de la Tesina ante el tribunal evaluador:</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720"/>
        <w:gridCol w:w="900"/>
        <w:gridCol w:w="900"/>
        <w:gridCol w:w="900"/>
        <w:gridCol w:w="900"/>
        <w:gridCol w:w="900"/>
        <w:gridCol w:w="900"/>
        <w:gridCol w:w="900"/>
        <w:gridCol w:w="900"/>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Bim 1 (May-Jun 25)</w:t>
            </w:r>
          </w:p>
        </w:tc>
        <w:tc>
          <w:tcPr>
            <w:tcBorders>
              <w:bottom w:val="single" w:sz="6" w:space="0" w:color="000000"/>
            </w:tcBorders>
          </w:tcPr>
          <w:p>
            <w:pPr>
              <w:pStyle w:val="Compact"/>
              <w:jc w:val="center"/>
            </w:pPr>
            <w:r>
              <w:t xml:space="preserve">Bim 2 (Jul-Ago 25)</w:t>
            </w:r>
          </w:p>
        </w:tc>
        <w:tc>
          <w:tcPr>
            <w:tcBorders>
              <w:bottom w:val="single" w:sz="6" w:space="0" w:color="000000"/>
            </w:tcBorders>
          </w:tcPr>
          <w:p>
            <w:pPr>
              <w:pStyle w:val="Compact"/>
              <w:jc w:val="center"/>
            </w:pPr>
            <w:r>
              <w:t xml:space="preserve">Bim 3 (Sep-Oct 25)</w:t>
            </w:r>
          </w:p>
        </w:tc>
        <w:tc>
          <w:tcPr>
            <w:tcBorders>
              <w:bottom w:val="single" w:sz="6" w:space="0" w:color="000000"/>
            </w:tcBorders>
          </w:tcPr>
          <w:p>
            <w:pPr>
              <w:pStyle w:val="Compact"/>
              <w:jc w:val="center"/>
            </w:pPr>
            <w:r>
              <w:t xml:space="preserve">Bim 4 (Nov-Dic 25)</w:t>
            </w:r>
          </w:p>
        </w:tc>
        <w:tc>
          <w:tcPr>
            <w:tcBorders>
              <w:bottom w:val="single" w:sz="6" w:space="0" w:color="000000"/>
            </w:tcBorders>
          </w:tcPr>
          <w:p>
            <w:pPr>
              <w:pStyle w:val="Compact"/>
              <w:jc w:val="center"/>
            </w:pPr>
            <w:r>
              <w:t xml:space="preserve">Bim 5 (Feb-Mar 26)</w:t>
            </w:r>
          </w:p>
        </w:tc>
        <w:tc>
          <w:tcPr>
            <w:tcBorders>
              <w:bottom w:val="single" w:sz="6" w:space="0" w:color="000000"/>
            </w:tcBorders>
          </w:tcPr>
          <w:p>
            <w:pPr>
              <w:pStyle w:val="Compact"/>
              <w:jc w:val="center"/>
            </w:pPr>
            <w:r>
              <w:t xml:space="preserve">Bim 6 (Abr-May 26)</w:t>
            </w:r>
          </w:p>
        </w:tc>
        <w:tc>
          <w:tcPr>
            <w:tcBorders>
              <w:bottom w:val="single" w:sz="6" w:space="0" w:color="000000"/>
            </w:tcBorders>
          </w:tcPr>
          <w:p>
            <w:pPr>
              <w:pStyle w:val="Compact"/>
              <w:jc w:val="center"/>
            </w:pPr>
            <w:r>
              <w:t xml:space="preserve">Bim 7 (Jun-Jul 26)</w:t>
            </w:r>
          </w:p>
        </w:tc>
        <w:tc>
          <w:tcPr>
            <w:tcBorders>
              <w:bottom w:val="single" w:sz="6" w:space="0" w:color="000000"/>
            </w:tcBorders>
          </w:tcPr>
          <w:p>
            <w:pPr>
              <w:pStyle w:val="Compact"/>
              <w:jc w:val="center"/>
            </w:pPr>
            <w:r>
              <w:t xml:space="preserve">Bim 8 (Ago-Sep 26)</w:t>
            </w:r>
          </w:p>
        </w:tc>
      </w:tr>
      <w:tr>
        <w:tc>
          <w:tcPr/>
          <w:p>
            <w:pPr>
              <w:pStyle w:val="Compact"/>
              <w:jc w:val="left"/>
            </w:pPr>
            <w:r>
              <w:t xml:space="preserve">1. Formulación y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institucionales y diseño de instrumentos</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y parametrización digital</w:t>
            </w: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Fase I: Relevamiento normativo y entrevistas</w:t>
            </w: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Fase II: Cuestionarios en Viedma y Nodos</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6. Procesamiento de datos cuali-cuantitativos y triangulación</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r>
      <w:tr>
        <w:tc>
          <w:tcPr/>
          <w:p>
            <w:pPr>
              <w:pStyle w:val="Compact"/>
              <w:jc w:val="left"/>
            </w:pPr>
            <w:r>
              <w:t xml:space="preserve">7. Redacción integral de la Tesina y formulación de lineamientos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con Dirección de TFG, presentación y defensa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bimestral contempla los recesos académicos de invierno y verano reglamentados en el calendario de la UNCo.</w:t>
      </w:r>
    </w:p>
    <w:p>
      <w:r>
        <w:br w:type="page"/>
      </w:r>
    </w:p>
    <w:bookmarkEnd w:id="61"/>
    <w:bookmarkStart w:id="66"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En concordancia con las pautas de la Resolución CD-CURZAS N° 266/23, la factibilidad operativa del desarrollo del presente Trabajo Final de Graduación descansa en la disponibilidad concreta de recursos económicos, humanos, técnicos y en la gestión de autorizaciones institucionales:</w:t>
      </w:r>
    </w:p>
    <w:bookmarkStart w:id="62" w:name="recursos-económicos-y-financieros"/>
    <w:p>
      <w:pPr>
        <w:pStyle w:val="Heading3"/>
        <w:keepNext/>
        <w:spacing w:before="160" w:after="40" w:line="300" w:lineRule="auto"/>
      </w:pPr>
      <w:r>
        <w:rPr>
          <w:rFonts w:ascii="Arial" w:hAnsi="Arial"/>
          <w:b/>
          <w:i/>
          <w:sz w:val="24"/>
        </w:rPr>
        <w:t xml:space="preserve">Recursos Económicos y Financieros</w:t>
      </w:r>
    </w:p>
    <w:p>
      <w:pPr>
        <w:pStyle w:val="FirstParagraph"/>
      </w:pPr>
      <w:r>
        <w:t xml:space="preserve">El presente proyecto de investigación no requiere financiamiento presupuestario externo ni subsidios específicos de organismos de ciencia y técnica. Todos los costos operativos, logísticos y de equipamiento asociados a la ejecución del trabajo de campo, conectividad y edición final son asumidos íntegramente por el estudiante investigador bajo la modalidad de autofinanciamiento responsable.</w:t>
      </w:r>
    </w:p>
    <w:p>
      <w:pPr>
        <w:pStyle w:val="BodyText"/>
      </w:pPr>
      <w:r>
        <w:t xml:space="preserve">A continuación, se detalla el presupuesto estimado desagregado para la totalidad del ciclo de investigación: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 / Concepto de Gasto</w:t>
            </w:r>
          </w:p>
        </w:tc>
        <w:tc>
          <w:tcPr>
            <w:tcBorders>
              <w:bottom w:val="single" w:sz="6" w:space="0" w:color="000000"/>
            </w:tcBorders>
          </w:tcPr>
          <w:p>
            <w:pPr>
              <w:pStyle w:val="Compact"/>
              <w:jc w:val="left"/>
            </w:pPr>
            <w:r>
              <w:t xml:space="preserve">Descripción y Detalle Operativo</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 de Financiamiento</w:t>
            </w:r>
          </w:p>
        </w:tc>
      </w:tr>
      <w:tr>
        <w:tc>
          <w:tcPr/>
          <w:p>
            <w:pPr>
              <w:pStyle w:val="Compact"/>
              <w:jc w:val="left"/>
            </w:pPr>
            <w:r>
              <w:rPr>
                <w:b/>
                <w:bCs/>
              </w:rPr>
              <w:t xml:space="preserve">Materiales e insumos de oficina</w:t>
            </w:r>
          </w:p>
        </w:tc>
        <w:tc>
          <w:tcPr/>
          <w:p>
            <w:pPr>
              <w:pStyle w:val="Compact"/>
              <w:jc w:val="left"/>
            </w:pPr>
            <w:r>
              <w:t xml:space="preserve">Resmas de papel A4 (Normas APA 7), cartuchos de tóner/impresión, carpetas institucionales, cuadernos de notas de campo y bolígrafos.</w:t>
            </w:r>
          </w:p>
        </w:tc>
        <w:tc>
          <w:tcPr/>
          <w:p>
            <w:pPr>
              <w:pStyle w:val="Compact"/>
              <w:jc w:val="center"/>
            </w:pPr>
            <w:r>
              <w:t xml:space="preserve">$ 45.000</w:t>
            </w:r>
          </w:p>
        </w:tc>
        <w:tc>
          <w:tcPr/>
          <w:p>
            <w:pPr>
              <w:pStyle w:val="Compact"/>
              <w:jc w:val="left"/>
            </w:pPr>
            <w:r>
              <w:t xml:space="preserve">Autofinanciamiento propio</w:t>
            </w:r>
          </w:p>
        </w:tc>
      </w:tr>
      <w:tr>
        <w:tc>
          <w:tcPr/>
          <w:p>
            <w:pPr>
              <w:pStyle w:val="Compact"/>
              <w:jc w:val="left"/>
            </w:pPr>
            <w:r>
              <w:rPr>
                <w:b/>
                <w:bCs/>
              </w:rPr>
              <w:t xml:space="preserve">Servicios de conectividad y plataformas</w:t>
            </w:r>
          </w:p>
        </w:tc>
        <w:tc>
          <w:tcPr/>
          <w:p>
            <w:pPr>
              <w:pStyle w:val="Compact"/>
              <w:jc w:val="left"/>
            </w:pPr>
            <w:r>
              <w:t xml:space="preserve">Conexión a internet banda ancha domiciliaria para reuniones sincrónicas, administración de formularios en línea y acceso remoto a bases bibliotecarias.</w:t>
            </w:r>
          </w:p>
        </w:tc>
        <w:tc>
          <w:tcPr/>
          <w:p>
            <w:pPr>
              <w:pStyle w:val="Compact"/>
              <w:jc w:val="center"/>
            </w:pPr>
            <w:r>
              <w:t xml:space="preserve">$ 60.000</w:t>
            </w:r>
          </w:p>
        </w:tc>
        <w:tc>
          <w:tcPr/>
          <w:p>
            <w:pPr>
              <w:pStyle w:val="Compact"/>
              <w:jc w:val="left"/>
            </w:pPr>
            <w:r>
              <w:t xml:space="preserve">Autofinanciamiento propio</w:t>
            </w:r>
          </w:p>
        </w:tc>
      </w:tr>
      <w:tr>
        <w:tc>
          <w:tcPr/>
          <w:p>
            <w:pPr>
              <w:pStyle w:val="Compact"/>
              <w:jc w:val="left"/>
            </w:pPr>
            <w:r>
              <w:rPr>
                <w:b/>
                <w:bCs/>
              </w:rPr>
              <w:t xml:space="preserve">Licencias y herramientas de software</w:t>
            </w:r>
          </w:p>
        </w:tc>
        <w:tc>
          <w:tcPr/>
          <w:p>
            <w:pPr>
              <w:pStyle w:val="Compact"/>
              <w:jc w:val="left"/>
            </w:pPr>
            <w:r>
              <w:t xml:space="preserve">Uso de software libre y de código abierto (Quarto, Typst, R, PSPP, Zotero) y suscripción básica a utilidades complementarias de procesamiento de datos.</w:t>
            </w:r>
          </w:p>
        </w:tc>
        <w:tc>
          <w:tcPr/>
          <w:p>
            <w:pPr>
              <w:pStyle w:val="Compact"/>
              <w:jc w:val="center"/>
            </w:pPr>
            <w:r>
              <w:t xml:space="preserve">$ 25.000</w:t>
            </w:r>
          </w:p>
        </w:tc>
        <w:tc>
          <w:tcPr/>
          <w:p>
            <w:pPr>
              <w:pStyle w:val="Compact"/>
              <w:jc w:val="left"/>
            </w:pPr>
            <w:r>
              <w:t xml:space="preserve">Autofinanciamiento propio</w:t>
            </w:r>
          </w:p>
        </w:tc>
      </w:tr>
      <w:tr>
        <w:tc>
          <w:tcPr/>
          <w:p>
            <w:pPr>
              <w:pStyle w:val="Compact"/>
              <w:jc w:val="left"/>
            </w:pPr>
            <w:r>
              <w:rPr>
                <w:b/>
                <w:bCs/>
              </w:rPr>
              <w:t xml:space="preserve">Viáticos y traslados de proximidad</w:t>
            </w:r>
          </w:p>
        </w:tc>
        <w:tc>
          <w:tcPr/>
          <w:p>
            <w:pPr>
              <w:pStyle w:val="Compact"/>
              <w:jc w:val="left"/>
            </w:pPr>
            <w:r>
              <w:t xml:space="preserve">Gastos de movilidad urbana en la comarca Viedma-Carmen de Patagones para entrevistas presenciales en sede central CURZAS y dependencias académicas.</w:t>
            </w:r>
          </w:p>
        </w:tc>
        <w:tc>
          <w:tcPr/>
          <w:p>
            <w:pPr>
              <w:pStyle w:val="Compact"/>
              <w:jc w:val="center"/>
            </w:pPr>
            <w:r>
              <w:t xml:space="preserve">$ 50.000</w:t>
            </w:r>
          </w:p>
        </w:tc>
        <w:tc>
          <w:tcPr/>
          <w:p>
            <w:pPr>
              <w:pStyle w:val="Compact"/>
              <w:jc w:val="left"/>
            </w:pPr>
            <w:r>
              <w:t xml:space="preserve">Autofinanciamiento propio</w:t>
            </w:r>
          </w:p>
        </w:tc>
      </w:tr>
      <w:tr>
        <w:tc>
          <w:tcPr/>
          <w:p>
            <w:pPr>
              <w:pStyle w:val="Compact"/>
              <w:jc w:val="left"/>
            </w:pPr>
            <w:r>
              <w:rPr>
                <w:b/>
                <w:bCs/>
              </w:rPr>
              <w:t xml:space="preserve">Edición, impresión y encuadernación</w:t>
            </w:r>
          </w:p>
        </w:tc>
        <w:tc>
          <w:tcPr/>
          <w:p>
            <w:pPr>
              <w:pStyle w:val="Compact"/>
              <w:jc w:val="left"/>
            </w:pPr>
            <w:r>
              <w:t xml:space="preserve">Impresión de ejemplares formales encuadernados para archivo departamental y biblioteca universitaria (según requiera la reglamentación de defensa).</w:t>
            </w:r>
          </w:p>
        </w:tc>
        <w:tc>
          <w:tcPr/>
          <w:p>
            <w:pPr>
              <w:pStyle w:val="Compact"/>
              <w:jc w:val="center"/>
            </w:pPr>
            <w:r>
              <w:t xml:space="preserve">$ 40.000</w:t>
            </w:r>
          </w:p>
        </w:tc>
        <w:tc>
          <w:tcPr/>
          <w:p>
            <w:pPr>
              <w:pStyle w:val="Compact"/>
              <w:jc w:val="left"/>
            </w:pPr>
            <w:r>
              <w:t xml:space="preserve">Autofinanciamiento propio</w:t>
            </w:r>
          </w:p>
        </w:tc>
      </w:tr>
      <w:tr>
        <w:tc>
          <w:tcPr/>
          <w:p>
            <w:pPr>
              <w:pStyle w:val="Compact"/>
              <w:jc w:val="left"/>
            </w:pPr>
            <w:r>
              <w:rPr>
                <w:b/>
                <w:bCs/>
              </w:rPr>
              <w:t xml:space="preserve">Total Estimado</w:t>
            </w:r>
          </w:p>
        </w:tc>
        <w:tc>
          <w:tcPr/>
          <w:p>
            <w:pPr>
              <w:pStyle w:val="Compact"/>
              <w:jc w:val="left"/>
            </w:pPr>
            <w:r>
              <w:rPr>
                <w:b/>
                <w:bCs/>
              </w:rPr>
              <w:t xml:space="preserve">Presupuesto total previsto para la ejecución del TFG</w:t>
            </w:r>
          </w:p>
        </w:tc>
        <w:tc>
          <w:tcPr/>
          <w:p>
            <w:pPr>
              <w:pStyle w:val="Compact"/>
              <w:jc w:val="center"/>
            </w:pPr>
            <w:r>
              <w:rPr>
                <w:b/>
                <w:bCs/>
              </w:rPr>
              <w:t xml:space="preserve">$ 220.000</w:t>
            </w:r>
          </w:p>
        </w:tc>
        <w:tc>
          <w:tcPr/>
          <w:p>
            <w:pPr>
              <w:pStyle w:val="Compact"/>
              <w:jc w:val="left"/>
            </w:pPr>
            <w:r>
              <w:rPr>
                <w:b/>
                <w:bCs/>
              </w:rPr>
              <w:t xml:space="preserve">100% Autofinanciado</w:t>
            </w:r>
          </w:p>
        </w:tc>
      </w:tr>
    </w:tbl>
    <w:p>
      <w:pPr>
        <w:pStyle w:val="BodyText"/>
      </w:pPr>
      <w:r>
        <w:rPr>
          <w:i/>
          <w:iCs/>
        </w:rPr>
        <w:t xml:space="preserve">Nota.</w:t>
      </w:r>
      <w:r>
        <w:t xml:space="preserve"> </w:t>
      </w:r>
      <w:r>
        <w:t xml:space="preserve">Presupuesto estimado a valores corrientes del período 2025/2026. Los desplazamientos a localidades de los Nodos Universitarios de la Línea Sur y Costa Atlántica no requerirán erogaciones extraordinarias de traslado físico masivo, dado que el relevamiento en territorio se desplegará de forma virtualizada y sincrónica mediante las salas de videoconferencia y entornos digitales de los Nodos del CURZAS, con apoyo de los docentes tutores locales.</w:t>
      </w:r>
    </w:p>
    <w:bookmarkEnd w:id="62"/>
    <w:bookmarkStart w:id="63" w:name="recursos-humanos-y-dedicación"/>
    <w:p>
      <w:pPr>
        <w:pStyle w:val="Heading3"/>
        <w:keepNext/>
        <w:spacing w:before="160" w:after="40" w:line="300" w:lineRule="auto"/>
      </w:pPr>
      <w:r>
        <w:rPr>
          <w:rFonts w:ascii="Arial" w:hAnsi="Arial"/>
          <w:b/>
          <w:i/>
          <w:sz w:val="24"/>
        </w:rPr>
        <w:t xml:space="preserve">Recursos Humanos y Dedicación</w:t>
      </w:r>
    </w:p>
    <w:p>
      <w:pPr>
        <w:pStyle w:val="FirstParagraph"/>
      </w:pPr>
      <w:r>
        <w:t xml:space="preserve">El equipo humano y de asesoramiento académico que sustentará el avance de la investigación se compone de:</w:t>
      </w:r>
    </w:p>
    <w:p>
      <w:pPr>
        <w:pStyle w:val="Compact"/>
        <w:numPr>
          <w:ilvl w:val="0"/>
          <w:numId w:val="1044"/>
        </w:numPr>
      </w:pPr>
      <w:r>
        <w:rPr>
          <w:b/>
          <w:bCs/>
        </w:rPr>
        <w:t xml:space="preserve">Investigador Principal / Estudiante:</w:t>
      </w:r>
      <w:r>
        <w:t xml:space="preserve"> </w:t>
      </w:r>
      <w:r>
        <w:t xml:space="preserve">Tec. Sup. en RRHH Héctor Daniel Ayarachi Fuentes (Legajo N° 8252 — DNI N° 35.492.138). Dedicará una carga horaria sistemática de 15 a 20 horas semanales distribuidas entre el trabajo de campo, la lectura teórica, el procesamiento de datos y la redacción de la tesina.</w:t>
      </w:r>
    </w:p>
    <w:p>
      <w:pPr>
        <w:pStyle w:val="Compact"/>
        <w:numPr>
          <w:ilvl w:val="0"/>
          <w:numId w:val="1044"/>
        </w:numPr>
      </w:pPr>
      <w:r>
        <w:rPr>
          <w:b/>
          <w:bCs/>
        </w:rPr>
        <w:t xml:space="preserve">Director/a de TFG:</w:t>
      </w:r>
      <w:r>
        <w:t xml:space="preserve"> </w:t>
      </w:r>
      <w:r>
        <w:t xml:space="preserve">Profesional universitario/a especialista en Administración Pública o Gestión de Recursos Humanos, a designar formalmente antes de la finalización del cursado del Seminario de Integración y Aplicación, conforme a los requisitos del Art. 4° del Reglamento de TFG (Resolución CD-CURZAS N° 266/23). Tendrá a su cargo la orientación epistemológica, metodológica y la supervisión sustantiva de los avances.</w:t>
      </w:r>
    </w:p>
    <w:p>
      <w:pPr>
        <w:pStyle w:val="Compact"/>
        <w:numPr>
          <w:ilvl w:val="0"/>
          <w:numId w:val="1044"/>
        </w:numPr>
      </w:pPr>
      <w:r>
        <w:rPr>
          <w:b/>
          <w:bCs/>
        </w:rPr>
        <w:t xml:space="preserve">Codirector/a de TFG (si correspondiera):</w:t>
      </w:r>
      <w:r>
        <w:t xml:space="preserve"> </w:t>
      </w:r>
      <w:r>
        <w:t xml:space="preserve">Docente o investigador/a con inserción en el CURZAS que fortalecerá el anclaje institucional y disciplinar del estudio.</w:t>
      </w:r>
    </w:p>
    <w:p>
      <w:pPr>
        <w:pStyle w:val="Compact"/>
        <w:numPr>
          <w:ilvl w:val="0"/>
          <w:numId w:val="1044"/>
        </w:numPr>
      </w:pPr>
      <w:r>
        <w:rPr>
          <w:b/>
          <w:bCs/>
        </w:rPr>
        <w:t xml:space="preserve">Equipo Docente del Seminario de Integración y Aplicación (SIA):</w:t>
      </w:r>
      <w:r>
        <w:t xml:space="preserve"> </w:t>
      </w:r>
      <w:r>
        <w:t xml:space="preserve">Dra. Deborah Noguera, Esp. Federico Abeiro y Esp. María Cecilia Aguirre, quienes acompañan y validan la formulación del diseño en las etapas formativas de la cátedra.</w:t>
      </w:r>
    </w:p>
    <w:p>
      <w:pPr>
        <w:pStyle w:val="Compact"/>
        <w:numPr>
          <w:ilvl w:val="0"/>
          <w:numId w:val="1044"/>
        </w:numPr>
      </w:pPr>
      <w:r>
        <w:rPr>
          <w:b/>
          <w:bCs/>
        </w:rPr>
        <w:t xml:space="preserve">Comunidad Académica Participante:</w:t>
      </w:r>
      <w:r>
        <w:t xml:space="preserve"> </w:t>
      </w:r>
      <w:r>
        <w:t xml:space="preserve">Directores de departamento, docentes de cátedra, consejeros departamentales y estudiantes que participarán voluntariamente como informantes clave y respondientes en el trabajo de campo.</w:t>
      </w:r>
    </w:p>
    <w:bookmarkEnd w:id="63"/>
    <w:bookmarkStart w:id="64" w:name="X6dcfeb99b40faf2fa5f9637ff31084633a7fd89"/>
    <w:p>
      <w:pPr>
        <w:pStyle w:val="Heading3"/>
        <w:keepNext/>
        <w:spacing w:before="160" w:after="40" w:line="300" w:lineRule="auto"/>
      </w:pPr>
      <w:r>
        <w:rPr>
          <w:rFonts w:ascii="Arial" w:hAnsi="Arial"/>
          <w:b/>
          <w:i/>
          <w:sz w:val="24"/>
        </w:rPr>
        <w:t xml:space="preserve">Recursos Técnicos, Materiales y Tecnológicos</w:t>
      </w:r>
    </w:p>
    <w:p>
      <w:pPr>
        <w:pStyle w:val="FirstParagraph"/>
      </w:pPr>
      <w:r>
        <w:t xml:space="preserve">Para el procesamiento de datos, redacción y maquetación de los documentos se dispone de:</w:t>
      </w:r>
      <w:r>
        <w:t xml:space="preserve"> </w:t>
      </w:r>
      <w:r>
        <w:t xml:space="preserve">*</w:t>
      </w:r>
      <w:r>
        <w:t xml:space="preserve"> </w:t>
      </w:r>
      <w:r>
        <w:rPr>
          <w:b/>
          <w:bCs/>
        </w:rPr>
        <w:t xml:space="preserve">Infraestructura informática propia:</w:t>
      </w:r>
      <w:r>
        <w:t xml:space="preserve"> </w:t>
      </w:r>
      <w:r>
        <w:t xml:space="preserve">Computadora personal portátil con procesador multinúcleo, disco de estado sólido y periféricos de respaldo, con copias de seguridad automáticas en la nube.</w:t>
      </w:r>
      <w:r>
        <w:t xml:space="preserve"> </w:t>
      </w:r>
      <w:r>
        <w:t xml:space="preserve">*</w:t>
      </w:r>
      <w:r>
        <w:t xml:space="preserve"> </w:t>
      </w:r>
      <w:r>
        <w:rPr>
          <w:b/>
          <w:bCs/>
        </w:rPr>
        <w:t xml:space="preserve">Plataformas tecnológicas de la institución:</w:t>
      </w:r>
      <w:r>
        <w:t xml:space="preserve"> </w:t>
      </w:r>
      <w:r>
        <w:t xml:space="preserve">Acceso autorizado al entorno virtual de aprendizaje Moodle del CURZAS-UNCo, al sistema de gestión académica SIU-Guaraní y a la Red de Conectividad de los Nodos Territoriales de la UNCo.</w:t>
      </w:r>
      <w:r>
        <w:t xml:space="preserve"> </w:t>
      </w:r>
      <w:r>
        <w:t xml:space="preserve">*</w:t>
      </w:r>
      <w:r>
        <w:t xml:space="preserve"> </w:t>
      </w:r>
      <w:r>
        <w:rPr>
          <w:b/>
          <w:bCs/>
        </w:rPr>
        <w:t xml:space="preserve">Ecosistema de redacción científica Docs-as-Code:</w:t>
      </w:r>
      <w:r>
        <w:t xml:space="preserve"> </w:t>
      </w:r>
      <w:r>
        <w:t xml:space="preserve">Entornos de desarrollo integrados con Quarto y Typst para la producción automatizada de documentos en formatos PDF y Word (.docx) con estándares de tipografía, márgenes (2,54 cm) y citas bibliográficas en Normas APA 7ma Edición.</w:t>
      </w:r>
      <w:r>
        <w:t xml:space="preserve"> </w:t>
      </w:r>
      <w:r>
        <w:t xml:space="preserve">*</w:t>
      </w:r>
      <w:r>
        <w:t xml:space="preserve"> </w:t>
      </w:r>
      <w:r>
        <w:rPr>
          <w:b/>
          <w:bCs/>
        </w:rPr>
        <w:t xml:space="preserve">Herramientas de procesamiento analítico:</w:t>
      </w:r>
      <w:r>
        <w:t xml:space="preserve"> </w:t>
      </w:r>
      <w:r>
        <w:t xml:space="preserve">Software estadístico libre PSPP y R para el tratamiento univariado y bivariado de encuestas, y software de análisis cualitativo Atlas.ti para la codificación temático-hermenéutica de entrevistas.</w:t>
      </w:r>
    </w:p>
    <w:bookmarkEnd w:id="64"/>
    <w:bookmarkStart w:id="65" w:name="X7142c58aca4234f3db8427a714f7be7bce11dce"/>
    <w:p>
      <w:pPr>
        <w:pStyle w:val="Heading3"/>
        <w:keepNext/>
        <w:spacing w:before="160" w:after="40" w:line="300" w:lineRule="auto"/>
      </w:pPr>
      <w:r>
        <w:rPr>
          <w:rFonts w:ascii="Arial" w:hAnsi="Arial"/>
          <w:b/>
          <w:i/>
          <w:sz w:val="24"/>
        </w:rPr>
        <w:t xml:space="preserve">Viabilidad Institucional, Política y Gestión de Accesos</w:t>
      </w:r>
    </w:p>
    <w:p>
      <w:pPr>
        <w:pStyle w:val="FirstParagraph"/>
      </w:pPr>
      <w:r>
        <w:t xml:space="preserve">La viabilidad institucional y política del proyecto se encuentra garantizada por los siguientes factores:</w:t>
      </w:r>
      <w:r>
        <w:t xml:space="preserve"> </w:t>
      </w:r>
      <w:r>
        <w:t xml:space="preserve">*</w:t>
      </w:r>
      <w:r>
        <w:t xml:space="preserve"> </w:t>
      </w:r>
      <w:r>
        <w:rPr>
          <w:b/>
          <w:bCs/>
        </w:rPr>
        <w:t xml:space="preserve">Inserción académica regular:</w:t>
      </w:r>
      <w:r>
        <w:t xml:space="preserve"> </w:t>
      </w:r>
      <w:r>
        <w:t xml:space="preserve">El estudiante es alumno regular del Ciclo de Complementación Curricular de la Licenciatura en Gestión de Recursos Humanos del Departamento de Administración Pública, contando con reconocimiento institucional para realizar investigaciones en su propia unidad académica.</w:t>
      </w:r>
      <w:r>
        <w:t xml:space="preserve"> </w:t>
      </w:r>
      <w:r>
        <w:t xml:space="preserve">*</w:t>
      </w:r>
      <w:r>
        <w:t xml:space="preserve"> </w:t>
      </w:r>
      <w:r>
        <w:rPr>
          <w:b/>
          <w:bCs/>
        </w:rPr>
        <w:t xml:space="preserve">Gestión formal de avales:</w:t>
      </w:r>
      <w:r>
        <w:t xml:space="preserve"> </w:t>
      </w:r>
      <w:r>
        <w:t xml:space="preserve">Se tramitará ante la Dirección del Departamento de Administración Pública y el Decanato del CURZAS la correspondiente nota de presentación y solicitud de acceso al campo (cuyo modelo formal se adjunta en el Anexo III), asegurando la autorización para encuestar y entrevistar a los integrantes de la comunidad universitaria.</w:t>
      </w:r>
      <w:r>
        <w:t xml:space="preserve"> </w:t>
      </w:r>
      <w:r>
        <w:t xml:space="preserve">*</w:t>
      </w:r>
      <w:r>
        <w:t xml:space="preserve"> </w:t>
      </w:r>
      <w:r>
        <w:rPr>
          <w:b/>
          <w:bCs/>
        </w:rPr>
        <w:t xml:space="preserve">Acuerdo ético paritario:</w:t>
      </w:r>
      <w:r>
        <w:t xml:space="preserve"> </w:t>
      </w:r>
      <w:r>
        <w:t xml:space="preserve">El compromiso formal de desvincular el estudio de cualquier efecto sumativo laboral y de garantizar el estricto secreto estadístico conforme a la Ley N° 25.326 asegura la predisposición favorable y la colaboración activa de las representaciones gremiales docentes (ADUNC) y de las autoridades de cogobierno.</w:t>
      </w:r>
    </w:p>
    <w:p>
      <w:r>
        <w:br w:type="page"/>
      </w:r>
    </w:p>
    <w:bookmarkEnd w:id="65"/>
    <w:bookmarkEnd w:id="66"/>
    <w:bookmarkStart w:id="67" w:name="referencias-bibliográficas"/>
    <w:p>
      <w:pPr>
        <w:pStyle w:val="Heading2"/>
        <w:keepNext/>
        <w:spacing w:before="200" w:after="80" w:line="300" w:lineRule="auto"/>
        <w:jc w:val="center"/>
      </w:pPr>
      <w:r>
        <w:rPr>
          <w:rFonts w:ascii="Arial" w:hAnsi="Arial"/>
          <w:b/>
          <w:sz w:val="24"/>
        </w:rPr>
        <w:t xml:space="preserve">Referencias Bibliográficas</w:t>
      </w:r>
    </w:p>
    <w:bookmarkEnd w:id="67"/>
    <w:bookmarkEnd w:id="68"/>
    <w:bookmarkStart w:id="119" w:name="referencias-bibliográficas-1"/>
    <w:p>
      <w:pPr>
        <w:pStyle w:val="Heading1"/>
        <w:keepNext/>
        <w:spacing w:before="240" w:after="120" w:line="300" w:lineRule="auto"/>
        <w:jc w:val="center"/>
      </w:pPr>
      <w:r>
        <w:rPr>
          <w:rFonts w:ascii="Arial" w:hAnsi="Arial"/>
          <w:b/>
          <w:sz w:val="28"/>
        </w:rPr>
        <w:t xml:space="preserve">Referencias Bibliográficas</w:t>
      </w:r>
    </w:p>
    <w:bookmarkStart w:id="114" w:name="refs"/>
    <w:bookmarkStart w:id="69"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9"/>
    <w:bookmarkStart w:id="71"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70">
        <w:r>
          <w:rPr>
            <w:rStyle w:val="Hyperlink"/>
          </w:rPr>
          <w:t xml:space="preserve">https://ru.dgb.unam.mx/handle/123456789/4144</w:t>
        </w:r>
      </w:hyperlink>
    </w:p>
    <w:bookmarkEnd w:id="71"/>
    <w:bookmarkStart w:id="72" w:name="ref-bardin2002"/>
    <w:p>
      <w:pPr>
        <w:pStyle w:val="Bibliography"/>
        <w:spacing w:after="120"/>
        <w:ind w:left="720" w:hanging="720"/>
        <w:jc w:val="left"/>
      </w:pPr>
      <w:r>
        <w:t xml:space="preserve">Bardin, L. (2002).</w:t>
      </w:r>
      <w:r>
        <w:t xml:space="preserve"> </w:t>
      </w:r>
      <w:r>
        <w:rPr>
          <w:i/>
          <w:iCs/>
        </w:rPr>
        <w:t xml:space="preserve">An</w:t>
      </w:r>
      <w:r>
        <w:rPr>
          <w:i/>
          <w:iCs/>
        </w:rPr>
        <w:t xml:space="preserve">’a</w:t>
      </w:r>
      <w:r>
        <w:rPr>
          <w:i/>
          <w:iCs/>
        </w:rPr>
        <w:t xml:space="preserve">lisis de contenido</w:t>
      </w:r>
      <w:r>
        <w:t xml:space="preserve">. Ediciones Akal.</w:t>
      </w:r>
    </w:p>
    <w:bookmarkEnd w:id="72"/>
    <w:bookmarkStart w:id="73" w:name="ref-brunner2011"/>
    <w:p>
      <w:pPr>
        <w:pStyle w:val="Bibliography"/>
        <w:spacing w:after="120"/>
        <w:ind w:left="720" w:hanging="720"/>
        <w:jc w:val="left"/>
      </w:pPr>
      <w:r>
        <w:t xml:space="preserve">Brunner, J. J. (2011). Gobernanza universitaria: Tipología, dinámicas y tendencias.</w:t>
      </w:r>
      <w:r>
        <w:t xml:space="preserve"> </w:t>
      </w:r>
      <w:r>
        <w:rPr>
          <w:i/>
          <w:iCs/>
        </w:rPr>
        <w:t xml:space="preserve">Revista de Educación</w:t>
      </w:r>
      <w:r>
        <w:t xml:space="preserve">, (355), 137-159.</w:t>
      </w:r>
    </w:p>
    <w:bookmarkEnd w:id="73"/>
    <w:bookmarkStart w:id="74"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74"/>
    <w:bookmarkStart w:id="76"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75">
        <w:r>
          <w:rPr>
            <w:rStyle w:val="Hyperlink"/>
          </w:rPr>
          <w:t xml:space="preserve">https://doi.org/10.46553/colec.34.2023.p143-176</w:t>
        </w:r>
      </w:hyperlink>
    </w:p>
    <w:bookmarkEnd w:id="76"/>
    <w:bookmarkStart w:id="77"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77"/>
    <w:bookmarkStart w:id="79"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78">
        <w:r>
          <w:rPr>
            <w:rStyle w:val="Hyperlink"/>
          </w:rPr>
          <w:t xml:space="preserve">https://web.curza.uncoma.edu.ar/educacion-distancia/nodos-curza-unco-region-sur</w:t>
        </w:r>
      </w:hyperlink>
    </w:p>
    <w:bookmarkEnd w:id="79"/>
    <w:bookmarkStart w:id="80"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80"/>
    <w:bookmarkStart w:id="82"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81">
        <w:r>
          <w:rPr>
            <w:rStyle w:val="Hyperlink"/>
          </w:rPr>
          <w:t xml:space="preserve">https://doi.org/10.2307/3541464</w:t>
        </w:r>
      </w:hyperlink>
    </w:p>
    <w:bookmarkEnd w:id="82"/>
    <w:bookmarkStart w:id="83" w:name="ref-pen2015"/>
    <w:p>
      <w:pPr>
        <w:pStyle w:val="Bibliography"/>
        <w:spacing w:after="120"/>
        <w:ind w:left="720" w:hanging="720"/>
        <w:jc w:val="left"/>
      </w:pPr>
      <w:r>
        <w:t xml:space="preserve">Decreto N° 1246/2015. Convenio Colectivo de Trabajo para los Docentes de las Instituciones Universitarias Nacionales (2015).</w:t>
      </w:r>
    </w:p>
    <w:bookmarkEnd w:id="83"/>
    <w:bookmarkStart w:id="84"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84"/>
    <w:bookmarkStart w:id="86" w:name="ref-flyvbjerg2005"/>
    <w:p>
      <w:pPr>
        <w:pStyle w:val="Bibliography"/>
        <w:spacing w:after="120"/>
        <w:ind w:left="720" w:hanging="720"/>
        <w:jc w:val="left"/>
      </w:pPr>
      <w:r>
        <w:t xml:space="preserve">Flyvbjerg, B. (2005). Cinco malentendidos acerca de la investigaci</w:t>
      </w:r>
      <w:r>
        <w:t xml:space="preserve">’o</w:t>
      </w:r>
      <w:r>
        <w:t xml:space="preserve">n mediante los estudios de caso.</w:t>
      </w:r>
      <w:r>
        <w:t xml:space="preserve"> </w:t>
      </w:r>
      <w:r>
        <w:rPr>
          <w:i/>
          <w:iCs/>
        </w:rPr>
        <w:t xml:space="preserve">Revista Espa</w:t>
      </w:r>
      <w:r>
        <w:rPr>
          <w:i/>
          <w:iCs/>
        </w:rPr>
        <w:t xml:space="preserve">ñ</w:t>
      </w:r>
      <w:r>
        <w:rPr>
          <w:i/>
          <w:iCs/>
        </w:rPr>
        <w:t xml:space="preserve">ola de Investigaciones Sociol</w:t>
      </w:r>
      <w:r>
        <w:rPr>
          <w:i/>
          <w:iCs/>
        </w:rPr>
        <w:t xml:space="preserve">’o</w:t>
      </w:r>
      <w:r>
        <w:rPr>
          <w:i/>
          <w:iCs/>
        </w:rPr>
        <w:t xml:space="preserve">gicas (REIS)</w:t>
      </w:r>
      <w:r>
        <w:t xml:space="preserve">, (106), 33-62.</w:t>
      </w:r>
      <w:r>
        <w:t xml:space="preserve"> </w:t>
      </w:r>
      <w:hyperlink r:id="rId85">
        <w:r>
          <w:rPr>
            <w:rStyle w:val="Hyperlink"/>
          </w:rPr>
          <w:t xml:space="preserve">https://doi.org/10.2307/40184584</w:t>
        </w:r>
      </w:hyperlink>
    </w:p>
    <w:bookmarkEnd w:id="86"/>
    <w:bookmarkStart w:id="87" w:name="ref-gimenez2012"/>
    <w:p>
      <w:pPr>
        <w:pStyle w:val="Bibliography"/>
        <w:spacing w:after="120"/>
        <w:ind w:left="720" w:hanging="720"/>
        <w:jc w:val="left"/>
      </w:pPr>
      <w:r>
        <w:t xml:space="preserve">Gim’enez, G. (2012). El estatuto metodol</w:t>
      </w:r>
      <w:r>
        <w:t xml:space="preserve">’o</w:t>
      </w:r>
      <w:r>
        <w:t xml:space="preserve">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87"/>
    <w:bookmarkStart w:id="88"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88"/>
    <w:bookmarkStart w:id="89" w:name="ref-hernandezsampieri2014"/>
    <w:p>
      <w:pPr>
        <w:pStyle w:val="Bibliography"/>
        <w:spacing w:after="120"/>
        <w:ind w:left="720" w:hanging="720"/>
        <w:jc w:val="left"/>
      </w:pPr>
      <w:r>
        <w:t xml:space="preserve">Hern’andez Sampieri, R., Fern’andez Collado, C., &amp; Baptista Lucio, M. del P. (2014).</w:t>
      </w:r>
      <w:r>
        <w:t xml:space="preserve"> </w:t>
      </w:r>
      <w:r>
        <w:rPr>
          <w:i/>
          <w:iCs/>
        </w:rPr>
        <w:t xml:space="preserve">Metodolog</w:t>
      </w:r>
      <w:r>
        <w:rPr>
          <w:i/>
          <w:iCs/>
        </w:rPr>
        <w:t xml:space="preserve">’i</w:t>
      </w:r>
      <w:r>
        <w:rPr>
          <w:i/>
          <w:iCs/>
        </w:rPr>
        <w:t xml:space="preserve">a de la investigaci</w:t>
      </w:r>
      <w:r>
        <w:rPr>
          <w:i/>
          <w:iCs/>
        </w:rPr>
        <w:t xml:space="preserve">’o</w:t>
      </w:r>
      <w:r>
        <w:rPr>
          <w:i/>
          <w:iCs/>
        </w:rPr>
        <w:t xml:space="preserve">n</w:t>
      </w:r>
      <w:r>
        <w:t xml:space="preserve"> </w:t>
      </w:r>
      <w:r>
        <w:t xml:space="preserve">(6.ª ed.). McGraw-Hill Interamericana.</w:t>
      </w:r>
    </w:p>
    <w:bookmarkEnd w:id="89"/>
    <w:bookmarkStart w:id="90"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90"/>
    <w:bookmarkStart w:id="91"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91"/>
    <w:bookmarkStart w:id="92" w:name="ref-ministerio1995"/>
    <w:p>
      <w:pPr>
        <w:pStyle w:val="Bibliography"/>
        <w:spacing w:after="120"/>
        <w:ind w:left="720" w:hanging="720"/>
        <w:jc w:val="left"/>
      </w:pPr>
      <w:r>
        <w:t xml:space="preserve">Ley N° 24.521 de Educación Superior (1995).</w:t>
      </w:r>
    </w:p>
    <w:bookmarkEnd w:id="92"/>
    <w:bookmarkStart w:id="93" w:name="ref-ley25326"/>
    <w:p>
      <w:pPr>
        <w:pStyle w:val="Bibliography"/>
        <w:spacing w:after="120"/>
        <w:ind w:left="720" w:hanging="720"/>
        <w:jc w:val="left"/>
      </w:pPr>
      <w:r>
        <w:t xml:space="preserve">Ley N° 25.326: Protecci</w:t>
      </w:r>
      <w:r>
        <w:t xml:space="preserve">’o</w:t>
      </w:r>
      <w:r>
        <w:t xml:space="preserve">n de los Datos Personales (2000).</w:t>
      </w:r>
    </w:p>
    <w:bookmarkEnd w:id="93"/>
    <w:bookmarkStart w:id="94" w:name="ref-lincoln1985"/>
    <w:p>
      <w:pPr>
        <w:pStyle w:val="Bibliography"/>
        <w:spacing w:after="120"/>
        <w:ind w:left="720" w:hanging="720"/>
        <w:jc w:val="left"/>
      </w:pPr>
      <w:r>
        <w:t xml:space="preserve">Lincoln, Y. S., &amp; Guba, E. G. (1985).</w:t>
      </w:r>
      <w:r>
        <w:t xml:space="preserve"> </w:t>
      </w:r>
      <w:r>
        <w:rPr>
          <w:i/>
          <w:iCs/>
        </w:rPr>
        <w:t xml:space="preserve">Naturalistic inquiry</w:t>
      </w:r>
      <w:r>
        <w:t xml:space="preserve">. SAGE Publications.</w:t>
      </w:r>
    </w:p>
    <w:bookmarkEnd w:id="94"/>
    <w:bookmarkStart w:id="9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95"/>
    <w:bookmarkStart w:id="96"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96"/>
    <w:bookmarkStart w:id="97"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97"/>
    <w:bookmarkStart w:id="99"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98">
        <w:r>
          <w:rPr>
            <w:rStyle w:val="Hyperlink"/>
          </w:rPr>
          <w:t xml:space="preserve">https://medisur.sld.cu/index.php/medisur/article/view/2749</w:t>
        </w:r>
      </w:hyperlink>
    </w:p>
    <w:bookmarkEnd w:id="99"/>
    <w:bookmarkStart w:id="100"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100"/>
    <w:bookmarkStart w:id="101"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101"/>
    <w:bookmarkStart w:id="103"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102">
        <w:r>
          <w:rPr>
            <w:rStyle w:val="Hyperlink"/>
          </w:rPr>
          <w:t xml:space="preserve">https://doi.org/10.14507/epaa.28.5142</w:t>
        </w:r>
      </w:hyperlink>
    </w:p>
    <w:bookmarkEnd w:id="103"/>
    <w:bookmarkStart w:id="10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104"/>
    <w:bookmarkStart w:id="10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105">
        <w:r>
          <w:rPr>
            <w:rStyle w:val="Hyperlink"/>
          </w:rPr>
          <w:t xml:space="preserve">https://dialnet.unirioja.es/servlet/articulo?codigo=7242790</w:t>
        </w:r>
      </w:hyperlink>
    </w:p>
    <w:bookmarkEnd w:id="106"/>
    <w:bookmarkStart w:id="10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107">
        <w:r>
          <w:rPr>
            <w:rStyle w:val="Hyperlink"/>
          </w:rPr>
          <w:t xml:space="preserve">https://doi.org/10.1177/1534484316671606</w:t>
        </w:r>
      </w:hyperlink>
    </w:p>
    <w:bookmarkEnd w:id="108"/>
    <w:bookmarkStart w:id="11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109">
        <w:r>
          <w:rPr>
            <w:rStyle w:val="Hyperlink"/>
          </w:rPr>
          <w:t xml:space="preserve">https://fatu-uncoma.com.ar/fatu/wp-content/uploads/2024/03/0910-1997-Reglamento-de-carrera-docente.pdf</w:t>
        </w:r>
      </w:hyperlink>
    </w:p>
    <w:bookmarkEnd w:id="110"/>
    <w:bookmarkStart w:id="11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11">
        <w:r>
          <w:rPr>
            <w:rStyle w:val="Hyperlink"/>
          </w:rPr>
          <w:t xml:space="preserve">https://academica.uncoma.edu.ar/wp-content/uploads/2025/08/ord_988_2025_55.pdf</w:t>
        </w:r>
      </w:hyperlink>
    </w:p>
    <w:bookmarkEnd w:id="112"/>
    <w:bookmarkStart w:id="11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13"/>
    <w:bookmarkEnd w:id="114"/>
    <w:p>
      <w:r>
        <w:br w:type="page"/>
      </w:r>
    </w:p>
    <w:bookmarkStart w:id="118" w:name="anexos-metodológicos"/>
    <w:p>
      <w:pPr>
        <w:pStyle w:val="Heading2"/>
        <w:keepNext/>
        <w:spacing w:before="200" w:after="120" w:line="300" w:lineRule="auto"/>
        <w:ind w:left="720" w:hanging="720"/>
        <w:jc w:val="left"/>
      </w:pPr>
      <w:r>
        <w:rPr>
          <w:rFonts w:ascii="Arial" w:hAnsi="Arial"/>
          <w:b/>
          <w:sz w:val="24"/>
        </w:rPr>
        <w:t xml:space="preserve">Anexos Metodológicos</w:t>
      </w:r>
    </w:p>
    <w:bookmarkStart w:id="115" w:name="X4d48d66f137e8823c03fdb7192927e1db679464"/>
    <w:p>
      <w:pPr>
        <w:pStyle w:val="Heading3"/>
        <w:keepNext/>
        <w:spacing w:before="160" w:after="120" w:line="300" w:lineRule="auto"/>
        <w:ind w:left="720" w:hanging="720"/>
        <w:jc w:val="left"/>
      </w:pPr>
      <w:r>
        <w:rPr>
          <w:rFonts w:ascii="Arial" w:hAnsi="Arial"/>
          <w:b/>
          <w:i/>
          <w:sz w:val="24"/>
        </w:rPr>
        <w:t xml:space="preserve">Anexo I: Guía Temática de Entrevista Semiestructurada (Docentes y Autoridades)</w:t>
      </w:r>
    </w:p>
    <w:p>
      <w:pPr>
        <w:pStyle w:val="FirstParagraph"/>
        <w:spacing w:after="120"/>
        <w:ind w:left="720" w:hanging="720"/>
        <w:jc w:val="left"/>
      </w:pPr>
      <w:r>
        <w:rPr>
          <w:b/>
          <w:bCs/>
        </w:rPr>
        <w:t xml:space="preserve">UNIVERSIDAD NACIONAL DEL COMAHUE — CURZAS</w:t>
      </w:r>
      <w:r>
        <w:br/>
      </w:r>
      <w:r>
        <w:rPr>
          <w:b/>
          <w:bCs/>
        </w:rPr>
        <w:t xml:space="preserve">Proyecto de TFG:</w:t>
      </w:r>
      <w:r>
        <w:t xml:space="preserve"> </w:t>
      </w:r>
      <w:r>
        <w:rPr>
          <w:i/>
          <w:iCs/>
        </w:rPr>
        <w:t xml:space="preserve">Evaluación del Desempeño Docente y Factibilidad de Implementación de un Modelo de Retroalimentación 360° en el Departamento de Administración Pública (2025–2026)</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percepciones, valoraciones cualitativas, temores y propuestas sobre las prácticas de evaluación docente vigentes y la factibilidad de incorporar un circuito formativo de retroalimentación multiactoral (360°).</w:t>
      </w:r>
    </w:p>
    <w:p>
      <w:pPr>
        <w:pStyle w:val="BodyText"/>
        <w:spacing w:after="120"/>
        <w:ind w:left="720" w:hanging="720"/>
        <w:jc w:val="left"/>
      </w:pPr>
      <w:r>
        <w:rPr>
          <w:b/>
          <w:bCs/>
        </w:rPr>
        <w:t xml:space="preserve">Bloque 1: Diagnóstico de la Situación Actual y Percepción de los Dispositivos Vigentes</w:t>
      </w:r>
      <w:r>
        <w:t xml:space="preserve"> </w:t>
      </w:r>
      <w:r>
        <w:t xml:space="preserve">1. ¿Cuál es su balance respecto a los mecanismos actuales de evaluación docente reglamentados por el Estatuto y el Reglamento de Carrera Docente (informes anuales de cátedra, encuestas estudiantiles y evaluaciones cuatrienales de permanencia)?</w:t>
      </w:r>
      <w:r>
        <w:t xml:space="preserve"> </w:t>
      </w:r>
      <w:r>
        <w:t xml:space="preserve">2. ¿Considera que las devoluciones de las encuestas estudiantiles son aprovechadas como un insumo pedagógico para mejorar la enseñanza o funcionan prioritariamente como un requisito formal-administrativo?</w:t>
      </w:r>
      <w:r>
        <w:t xml:space="preserve"> </w:t>
      </w:r>
      <w:r>
        <w:t xml:space="preserve">3. En su experiencia cotidiana, ¿existen espacios de diálogo e intercambio entre los miembros de la cátedra para reflexionar colectivamente sobre el desempeño didáctico y las dificultades áulicas?</w:t>
      </w:r>
    </w:p>
    <w:p>
      <w:pPr>
        <w:pStyle w:val="BodyText"/>
        <w:spacing w:after="120"/>
        <w:ind w:left="720" w:hanging="720"/>
        <w:jc w:val="left"/>
      </w:pPr>
      <w:r>
        <w:rPr>
          <w:b/>
          <w:bCs/>
        </w:rPr>
        <w:t xml:space="preserve">Bloque 2: Comprensión y Valoración de un Modelo de Retroalimentación 360° Formativo</w:t>
      </w:r>
      <w:r>
        <w:t xml:space="preserve"> </w:t>
      </w:r>
      <w:r>
        <w:t xml:space="preserve">4. Desde su perspectiva académica, ¿qué potencialidades y qué riesgos identifica en la eventual incorporación de un modelo de retroalimentación 360° que triangule autoevaluación, opinión de colegas, juicio estudiantil y mirada de la conducción departamental?</w:t>
      </w:r>
      <w:r>
        <w:t xml:space="preserve"> </w:t>
      </w:r>
      <w:r>
        <w:t xml:space="preserve">5. ¿Qué opinión le merece la autoevaluación como componente reflexivo del ejercicio docente? ¿Estaría dispuesto/a a participar de instancias sistemáticas de autorreflexión pedagógica?</w:t>
      </w:r>
      <w:r>
        <w:t xml:space="preserve"> </w:t>
      </w:r>
      <w:r>
        <w:t xml:space="preserve">6. ¿Cómo percibe la coevaluación entre pares de cátedra o de área disciplinar? ¿Qué condiciones de clima institucional y confianza considera indispensables para que no sea percibida como una fiscalización o juicio inquisitorio?</w:t>
      </w:r>
    </w:p>
    <w:p>
      <w:pPr>
        <w:pStyle w:val="BodyText"/>
        <w:spacing w:after="120"/>
        <w:ind w:left="720" w:hanging="720"/>
        <w:jc w:val="left"/>
      </w:pPr>
      <w:r>
        <w:rPr>
          <w:b/>
          <w:bCs/>
        </w:rPr>
        <w:t xml:space="preserve">Bloque 3: Singularidades Territoriales y Modalidades Híbridas en Nodos</w:t>
      </w:r>
      <w:r>
        <w:t xml:space="preserve"> </w:t>
      </w:r>
      <w:r>
        <w:t xml:space="preserve">7. En el marco de la expansión territorial hacia la Red de Nodos de la Línea Sur y Costa Atlántica (Res. CD-CURZA N° 196/2022), ¿qué competencias y requerimientos docentes específicos (tutoría virtual, diseño de recursos asincrónicos, conectividad) deberían ser valorados por un dispositivo evaluativo?</w:t>
      </w:r>
      <w:r>
        <w:t xml:space="preserve"> </w:t>
      </w:r>
      <w:r>
        <w:t xml:space="preserve">8. ¿Considera que los estudiantes de los Nodos Territoriales poseen demandas diferenciadas que una encuesta estandarizada tradicional no logra capturar?</w:t>
      </w:r>
    </w:p>
    <w:p>
      <w:pPr>
        <w:pStyle w:val="BodyText"/>
        <w:spacing w:after="120"/>
        <w:ind w:left="720" w:hanging="720"/>
        <w:jc w:val="left"/>
      </w:pPr>
      <w:r>
        <w:rPr>
          <w:b/>
          <w:bCs/>
        </w:rPr>
        <w:t xml:space="preserve">Bloque 4: Condiciones de Factibilidad, Resguardos Éticos y Gobernanza Paritaria</w:t>
      </w:r>
      <w:r>
        <w:t xml:space="preserve"> </w:t>
      </w:r>
      <w:r>
        <w:t xml:space="preserve">9. ¿Cuáles considera que son los principales obstáculos (normativos, técnicos, culturales o gremiales) para implementar una retroalimentación formativa en el CURZAS?</w:t>
      </w:r>
      <w:r>
        <w:t xml:space="preserve"> </w:t>
      </w:r>
      <w:r>
        <w:t xml:space="preserve">10. ¿Qué salvaguardas éticas e institucionales (por ejemplo, anonimato absoluto, voluntariedad estricta, desvinculación total de legajos de permanencia y jurados) considera indispensables para que el cuerpo docente legitime la propuesta?</w:t>
      </w:r>
      <w:r>
        <w:t xml:space="preserve"> </w:t>
      </w:r>
      <w:r>
        <w:t xml:space="preserve">11. ¿De qué manera deberían articularse los hallazgos de la evaluación con el Programa Anual de Capacitación y Perfeccionamiento Docente previsto en el Art. 76 del Estatuto de la UNCo?</w:t>
      </w:r>
    </w:p>
    <w:p>
      <w:r>
        <w:pict>
          <v:rect style="width:0;height:1.5pt" o:hralign="center" o:hrstd="t" o:hr="t"/>
        </w:pict>
      </w:r>
    </w:p>
    <w:bookmarkEnd w:id="115"/>
    <w:bookmarkStart w:id="116" w:name="Xfa097916045b5e3ddcbbe6532e360b31f9383aa"/>
    <w:p>
      <w:pPr>
        <w:pStyle w:val="Heading3"/>
        <w:keepNext/>
        <w:spacing w:before="160" w:after="120" w:line="300" w:lineRule="auto"/>
        <w:ind w:left="720" w:hanging="720"/>
        <w:jc w:val="left"/>
      </w:pPr>
      <w:r>
        <w:rPr>
          <w:rFonts w:ascii="Arial" w:hAnsi="Arial"/>
          <w:b/>
          <w:i/>
          <w:sz w:val="24"/>
        </w:rPr>
        <w:t xml:space="preserve">Anexo II: Cuestionario Diagnóstico sobre Factibilidad del Modelo 360° (Escala Likert)</w:t>
      </w:r>
    </w:p>
    <w:p>
      <w:pPr>
        <w:pStyle w:val="FirstParagraph"/>
        <w:spacing w:after="120"/>
        <w:ind w:left="720" w:hanging="720"/>
        <w:jc w:val="left"/>
      </w:pPr>
      <w:r>
        <w:rPr>
          <w:i/>
          <w:iCs/>
        </w:rPr>
        <w:t xml:space="preserve">Instrucciones:</w:t>
      </w:r>
      <w:r>
        <w:t xml:space="preserve"> </w:t>
      </w:r>
      <w:r>
        <w:t xml:space="preserve">A continuación se presentan afirmaciones sobre la evaluación del desempeño docente y la viabilidad de un modelo de retroalimentación 360°. Por favor, indique su grado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164"/>
        <w:gridCol w:w="931"/>
        <w:gridCol w:w="1164"/>
        <w:gridCol w:w="1164"/>
        <w:gridCol w:w="1164"/>
        <w:gridCol w:w="1164"/>
        <w:gridCol w:w="1164"/>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Ítem / Reactivo de la Escala Diagnóstica</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rPr>
                <w:b/>
                <w:bCs/>
              </w:rPr>
              <w:t xml:space="preserve">Dimensión Normativa y Estatutaria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w:t>
            </w:r>
          </w:p>
        </w:tc>
        <w:tc>
          <w:tcPr/>
          <w:p>
            <w:pPr>
              <w:pStyle w:val="Compact"/>
              <w:jc w:val="left"/>
            </w:pPr>
            <w:r>
              <w:t xml:space="preserve">La evaluación docente debe superar la fiscalización administrativa para centrarse en el aprendizaje pedagógico continuo.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cualquier dispositivo de retroalimentación 360° carezca de efectos sumativos sobre la estabilidad laboral.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Los reportes evaluativos individuales no deben formar parte del legajo formal ante tribunales de concurso o jurados cuatrienales.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Técnica e Instrumental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Las plataformas digitales institucionales (Moodle/SIU) son adecuadas para implementar cuestionarios seguros de retroalimentación.</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Confío en que los sistemas informáticos del CURZAS pueden garantizar el anonimato irreversible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Un cuestionario ágil de 15 a 20 preguntas es suficiente para valorar la labor docente sin generar fatiga evaluativa.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Organizacional y Procedimental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7</w:t>
            </w:r>
          </w:p>
        </w:tc>
        <w:tc>
          <w:tcPr/>
          <w:p>
            <w:pPr>
              <w:pStyle w:val="Compact"/>
              <w:jc w:val="left"/>
            </w:pPr>
            <w:r>
              <w:t xml:space="preserve">El Departamento cuenta con capacidad de gestión para procesar devoluciones diagnósticas en tiempos pedagógicamente útiles.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Los resultados consolidados deben utilizarse para diseñar el Programa Anual de Capacitación Docente (Art. 76 Estatuto).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Cultural y Actitudinal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9</w:t>
            </w:r>
          </w:p>
        </w:tc>
        <w:tc>
          <w:tcPr/>
          <w:p>
            <w:pPr>
              <w:pStyle w:val="Compact"/>
              <w:jc w:val="left"/>
            </w:pPr>
            <w:r>
              <w:t xml:space="preserve">Estaría dispuesto/a a participar voluntariamente en un circuito de autoevaluación reflexiva sobre mis prácticas de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Considero enriquecedor recibir comentarios constructivos y respetuosos de mis colegas de cátedra sobre mi labor didáctica.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Los estudiantes universitarios tienen suficiente criterio y madurez para evaluar con seriedad la claridad y el acompañamiento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En el Departamento existe un clima de confianza suficiente para dialogar abiertamente sobre debilidades y fortalezas pedagógicas.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de Gobernanza Multinivel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13</w:t>
            </w:r>
          </w:p>
        </w:tc>
        <w:tc>
          <w:tcPr/>
          <w:p>
            <w:pPr>
              <w:pStyle w:val="Compact"/>
              <w:jc w:val="left"/>
            </w:pPr>
            <w:r>
              <w:t xml:space="preserve">Una propuesta de retroalimentación formativa debe ser deliberada y consensuada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El aval de la representación gremial docente (ADUNC) en mesas paritarias es una condición indispensable para su implementación.</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La retroalimentación 360° en los Nodos Territoriales debe ponderar las particularidades del acompañamiento virtual e híbrido.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r>
        <w:pict>
          <v:rect style="width:0;height:1.5pt" o:hralign="center" o:hrstd="t" o:hr="t"/>
        </w:pict>
      </w:r>
    </w:p>
    <w:bookmarkEnd w:id="116"/>
    <w:bookmarkStart w:id="117" w:name="X03d03ee0c7995789ccfaffb1050605b04424ed1"/>
    <w:p>
      <w:pPr>
        <w:pStyle w:val="Heading3"/>
        <w:keepNext/>
        <w:spacing w:before="160" w:after="120" w:line="300" w:lineRule="auto"/>
        <w:ind w:left="720" w:hanging="720"/>
        <w:jc w:val="left"/>
      </w:pPr>
      <w:r>
        <w:rPr>
          <w:rFonts w:ascii="Arial" w:hAnsi="Arial"/>
          <w:b/>
          <w:i/>
          <w:sz w:val="24"/>
        </w:rPr>
        <w:t xml:space="preserve">Anexo III: Modelo de Nota Institucional de Solicitud de Aval y Consentimiento Informado</w:t>
      </w:r>
    </w:p>
    <w:p>
      <w:pPr>
        <w:pStyle w:val="FirstParagraph"/>
        <w:spacing w:after="120"/>
        <w:ind w:left="720" w:hanging="720"/>
        <w:jc w:val="left"/>
      </w:pPr>
      <w:r>
        <w:rPr>
          <w:b/>
          <w:bCs/>
        </w:rPr>
        <w:t xml:space="preserve">NOTA DE SOLICITUD DE AVAL ACADÉMICO PARA INVESTIGACIÓN DE TFG</w:t>
      </w:r>
    </w:p>
    <w:p>
      <w:pPr>
        <w:pStyle w:val="BodyText"/>
        <w:spacing w:after="120"/>
        <w:ind w:left="720" w:hanging="720"/>
        <w:jc w:val="left"/>
      </w:pPr>
      <w:r>
        <w:t xml:space="preserve">Viedma, Río Negro, ______ de ________________ de 2025</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w:t>
      </w:r>
      <w:r>
        <w:br/>
      </w:r>
      <w:r>
        <w:rPr>
          <w:b/>
          <w:bCs/>
        </w:rPr>
        <w:t xml:space="preserve">Universidad Nacional del Comahue</w:t>
      </w:r>
    </w:p>
    <w:p>
      <w:pPr>
        <w:pStyle w:val="BodyText"/>
        <w:spacing w:after="120"/>
        <w:ind w:left="720" w:hanging="720"/>
        <w:jc w:val="left"/>
      </w:pPr>
      <w:r>
        <w:t xml:space="preserve">De mi mayor consideración:</w:t>
      </w:r>
    </w:p>
    <w:p>
      <w:pPr>
        <w:pStyle w:val="BodyText"/>
        <w:spacing w:after="120"/>
        <w:ind w:left="720" w:hanging="720"/>
        <w:jc w:val="left"/>
      </w:pPr>
      <w:r>
        <w:t xml:space="preserve">Tengo el agrado de dirigirme a Usted en mi carácter de estudiante regular del Ciclo de Complementación Curricular de la Licenciatura en Gestión de Recursos Humanos de esta Casa de Altos Estudios (Legajo N° 8252 — DNI N° 35.492.138), en el marco de la elaboración de mi Trabajo Final de Graduación (TFG)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(2025–2026)”</w:t>
      </w:r>
    </w:p>
    <w:p>
      <w:pPr>
        <w:pStyle w:val="BodyText"/>
        <w:spacing w:after="120"/>
        <w:ind w:left="720" w:hanging="720"/>
        <w:jc w:val="left"/>
      </w:pPr>
      <w:r>
        <w:t xml:space="preserve">Por medio de la presente, solicito formalmente a las autoridades del Departamento el correspondiente</w:t>
      </w:r>
      <w:r>
        <w:t xml:space="preserve"> </w:t>
      </w:r>
      <w:r>
        <w:rPr>
          <w:b/>
          <w:bCs/>
        </w:rPr>
        <w:t xml:space="preserve">aval institucional y autorización de acceso al campo</w:t>
      </w:r>
      <w:r>
        <w:t xml:space="preserve"> </w:t>
      </w:r>
      <w:r>
        <w:t xml:space="preserve">a efectos de poder desarrollar las tareas de relevamiento empírico previstas en el diseño metodológico aprobado. Dichas tareas comprenden:</w:t>
      </w:r>
      <w:r>
        <w:br/>
      </w:r>
      <w:r>
        <w:t xml:space="preserve">a) Consulta de documentación normativa institucional y programas de formación docente;</w:t>
      </w:r>
      <w:r>
        <w:br/>
      </w:r>
      <w:r>
        <w:t xml:space="preserve">b) Realización de entrevistas semiestructuradas a autoridades, docentes y representantes gremiales;</w:t>
      </w:r>
      <w:r>
        <w:br/>
      </w:r>
      <w:r>
        <w:t xml:space="preserve">c) Administración de un cuestionario diagnóstico digital anónimo y voluntario a docentes y estudiantes de las carreras del Departamento en sede Viedma y en la Red de Nodos Universitarios.</w:t>
      </w:r>
    </w:p>
    <w:p>
      <w:pPr>
        <w:pStyle w:val="BodyText"/>
        <w:spacing w:after="120"/>
        <w:ind w:left="720" w:hanging="720"/>
        <w:jc w:val="left"/>
      </w:pPr>
      <w:r>
        <w:t xml:space="preserve">Dejo constancia expresa de que la totalidad de la información recolectada será tratada bajo estricto secreto estadístico y confidencialidad, en los términos de la</w:t>
      </w:r>
      <w:r>
        <w:t xml:space="preserve"> </w:t>
      </w:r>
      <w:r>
        <w:rPr>
          <w:b/>
          <w:bCs/>
        </w:rPr>
        <w:t xml:space="preserve">Ley Nacional N° 25.326 de Protección de los Datos Personales</w:t>
      </w:r>
      <w:r>
        <w:t xml:space="preserve">, utilizándose exclusivamente con fines de investigación científica y formativa académica, asegurando la no trazabilidad de las identidades individuales y la total desvinculación de los circuitos administrativos sumativos de permanencia docente.</w:t>
      </w:r>
    </w:p>
    <w:p>
      <w:pPr>
        <w:pStyle w:val="BodyText"/>
        <w:spacing w:after="120"/>
        <w:ind w:left="720" w:hanging="720"/>
        <w:jc w:val="left"/>
      </w:pPr>
      <w:r>
        <w:t xml:space="preserve">Agradeciendo desde ya su valiosa predisposición y acompañamiento institucional, saludo a Usted con mi más distinguida consideración.</w:t>
      </w:r>
    </w:p>
    <w:p>
      <w:pPr>
        <w:pStyle w:val="BodyText"/>
      </w:pPr>
      <w:r>
        <w:br/>
      </w:r>
      <w:r>
        <w:t xml:space="preserve"> </w:t>
      </w:r>
      <w:r>
        <w:br/>
      </w:r>
    </w:p>
    <w:p>
      <w:r>
        <w:pict>
          <v:rect style="width:0;height:1.5pt" o:hralign="center" o:hrstd="t" o:hr="t"/>
        </w:pict>
      </w:r>
    </w:p>
    <w:p>
      <w:pPr>
        <w:pStyle w:val="FirstParagraph"/>
        <w:spacing w:after="120"/>
        <w:ind w:left="720" w:hanging="720"/>
        <w:jc w:val="left"/>
      </w:pPr>
      <w:r>
        <w:rPr>
          <w:b/>
          <w:bCs/>
        </w:rPr>
        <w:t xml:space="preserve">Tec. Sup. Héctor Daniel Ayarachi Fuentes</w:t>
      </w:r>
      <w:r>
        <w:br/>
      </w:r>
      <w:r>
        <w:t xml:space="preserve">Estudiante — Ciclo de Complementación Curricular Lic. en Gestión de RRHH</w:t>
      </w:r>
      <w:r>
        <w:br/>
      </w:r>
      <w:r>
        <w:t xml:space="preserve">DNI N° 35.492.138 — Legajo N° 8252</w:t>
      </w:r>
      <w:r>
        <w:br/>
      </w:r>
      <w:r>
        <w:t xml:space="preserve">Departamento de Administración Pública — CURZAS-UNCo</w:t>
      </w:r>
    </w:p>
    <w:p>
      <w:r>
        <w:pict>
          <v:rect style="width:0;height:1.5pt" o:hralign="center" o:hrstd="t" o:hr="t"/>
        </w:pict>
      </w:r>
    </w:p>
    <w:p>
      <w:pPr>
        <w:pStyle w:val="FirstParagraph"/>
        <w:spacing w:after="120"/>
        <w:ind w:left="720" w:hanging="720"/>
        <w:jc w:val="left"/>
      </w:pPr>
      <w:r>
        <w:rPr>
          <w:b/>
          <w:bCs/>
        </w:rPr>
        <w:t xml:space="preserve">FORMULARIO DE CONSENTIMIENTO INFORMADO (DOCENTES Y ESTUDIANTES)</w:t>
      </w:r>
    </w:p>
    <w:p>
      <w:pPr>
        <w:pStyle w:val="Compact"/>
        <w:numPr>
          <w:ilvl w:val="0"/>
          <w:numId w:val="1045"/>
        </w:numPr>
        <w:spacing w:after="120"/>
        <w:ind w:left="720" w:hanging="720"/>
        <w:jc w:val="left"/>
      </w:pPr>
      <w:r>
        <w:rPr>
          <w:b/>
          <w:bCs/>
        </w:rPr>
        <w:t xml:space="preserve">Título del Proyecto:</w:t>
      </w:r>
      <w:r>
        <w:t xml:space="preserve"> </w:t>
      </w:r>
      <w:r>
        <w:rPr>
          <w:i/>
          <w:iCs/>
        </w:rPr>
        <w:t xml:space="preserve">Evaluación del Desempeño Docente y Factibilidad de Implementación de un Modelo de Retroalimentación 360° en el Departamento de Administración Pública del CURZAS-UNCo (2025–2026)</w:t>
      </w:r>
      <w:r>
        <w:t xml:space="preserve">.</w:t>
      </w:r>
    </w:p>
    <w:p>
      <w:pPr>
        <w:pStyle w:val="Compact"/>
        <w:numPr>
          <w:ilvl w:val="0"/>
          <w:numId w:val="1045"/>
        </w:numPr>
        <w:spacing w:after="120"/>
        <w:ind w:left="720" w:hanging="720"/>
        <w:jc w:val="left"/>
      </w:pPr>
      <w:r>
        <w:rPr>
          <w:b/>
          <w:bCs/>
        </w:rPr>
        <w:t xml:space="preserve">Investigador:</w:t>
      </w:r>
      <w:r>
        <w:t xml:space="preserve"> </w:t>
      </w:r>
      <w:r>
        <w:t xml:space="preserve">Tec. Sup. Héctor Daniel Ayarachi Fuentes (Estudiante de Licenciatura en Gestión de RRHH — CURZAS-UNCo).</w:t>
      </w:r>
    </w:p>
    <w:p>
      <w:pPr>
        <w:pStyle w:val="Compact"/>
        <w:numPr>
          <w:ilvl w:val="0"/>
          <w:numId w:val="1045"/>
        </w:numPr>
        <w:spacing w:after="120"/>
        <w:ind w:left="720" w:hanging="720"/>
        <w:jc w:val="left"/>
      </w:pPr>
      <w:r>
        <w:rPr>
          <w:b/>
          <w:bCs/>
        </w:rPr>
        <w:t xml:space="preserve">Propósito de la Investigación:</w:t>
      </w:r>
      <w:r>
        <w:t xml:space="preserve"> </w:t>
      </w:r>
      <w:r>
        <w:t xml:space="preserve">Diagnosticar las condiciones de factibilidad organizacional, técnica, normativa, cultural y de gobernanza para la eventual formulación de un modelo de evaluación docente formativo multiactoral en la universidad pública.</w:t>
      </w:r>
    </w:p>
    <w:p>
      <w:pPr>
        <w:pStyle w:val="Compact"/>
        <w:numPr>
          <w:ilvl w:val="0"/>
          <w:numId w:val="1045"/>
        </w:numPr>
        <w:spacing w:after="120"/>
        <w:ind w:left="720" w:hanging="720"/>
        <w:jc w:val="left"/>
      </w:pPr>
      <w:r>
        <w:rPr>
          <w:b/>
          <w:bCs/>
        </w:rPr>
        <w:t xml:space="preserve">Declaración del Participante:</w:t>
      </w:r>
    </w:p>
    <w:p>
      <w:pPr>
        <w:pStyle w:val="Compact"/>
        <w:numPr>
          <w:ilvl w:val="1"/>
          <w:numId w:val="1046"/>
        </w:numPr>
        <w:spacing w:after="120"/>
        <w:ind w:left="720" w:hanging="720"/>
        <w:jc w:val="left"/>
      </w:pPr>
      <w:r>
        <w:t xml:space="preserve">He sido informado/a de manera clara y precisa acerca de los objetivos de la investigación y de las características de mi participación.</w:t>
      </w:r>
    </w:p>
    <w:p>
      <w:pPr>
        <w:pStyle w:val="Compact"/>
        <w:numPr>
          <w:ilvl w:val="1"/>
          <w:numId w:val="1046"/>
        </w:numPr>
        <w:spacing w:after="120"/>
        <w:ind w:left="720" w:hanging="720"/>
        <w:jc w:val="left"/>
      </w:pPr>
      <w:r>
        <w:t xml:space="preserve">Comprendo que mi participación es</w:t>
      </w:r>
      <w:r>
        <w:t xml:space="preserve"> </w:t>
      </w:r>
      <w:r>
        <w:rPr>
          <w:b/>
          <w:bCs/>
        </w:rPr>
        <w:t xml:space="preserve">completamente libre, voluntaria y no remunerada</w:t>
      </w:r>
      <w:r>
        <w:t xml:space="preserve">, y que tengo el derecho de revocar mi participación en cualquier momento sin necesidad de justificación ni consecuencia alguna.</w:t>
      </w:r>
    </w:p>
    <w:p>
      <w:pPr>
        <w:pStyle w:val="Compact"/>
        <w:numPr>
          <w:ilvl w:val="1"/>
          <w:numId w:val="1046"/>
        </w:numPr>
        <w:spacing w:after="120"/>
        <w:ind w:left="720" w:hanging="720"/>
        <w:jc w:val="left"/>
      </w:pPr>
      <w:r>
        <w:t xml:space="preserve">Se me ha garantizado el</w:t>
      </w:r>
      <w:r>
        <w:t xml:space="preserve"> </w:t>
      </w:r>
      <w:r>
        <w:rPr>
          <w:b/>
          <w:bCs/>
        </w:rPr>
        <w:t xml:space="preserve">estricto anonimato y confidencialidad</w:t>
      </w:r>
      <w:r>
        <w:t xml:space="preserve"> </w:t>
      </w:r>
      <w:r>
        <w:t xml:space="preserve">de mis respuestas, las cuales serán procesadas de forma disociada y agregada con fines estrictamente académicos (Ley N° 25.326).</w:t>
      </w:r>
    </w:p>
    <w:p>
      <w:pPr>
        <w:pStyle w:val="Compact"/>
        <w:numPr>
          <w:ilvl w:val="1"/>
          <w:numId w:val="1046"/>
        </w:numPr>
        <w:spacing w:after="120"/>
        <w:ind w:left="720" w:hanging="720"/>
        <w:jc w:val="left"/>
      </w:pPr>
      <w:r>
        <w:t xml:space="preserve">Se me ha explicitado que los resultados del estudio no afectarán bajo ninguna circunstancia mi situación laboral estatutaria, legajo docente ni condición académica estudiantil.</w:t>
      </w:r>
    </w:p>
    <w:p>
      <w:pPr>
        <w:pStyle w:val="FirstParagraph"/>
        <w:spacing w:after="120"/>
        <w:ind w:left="720" w:hanging="720"/>
        <w:jc w:val="left"/>
      </w:pPr>
      <w:r>
        <w:t xml:space="preserve">En prueba de conformidad, presto mi consentimiento para participar en la presente investigación.</w:t>
      </w:r>
    </w:p>
    <w:p>
      <w:pPr>
        <w:pStyle w:val="BodyText"/>
        <w:spacing w:after="120"/>
        <w:ind w:left="720" w:hanging="720"/>
        <w:jc w:val="left"/>
      </w:pPr>
      <w:r>
        <w:t xml:space="preserve">Lugar y Fecha: ____________________________________________________________________</w:t>
      </w:r>
      <w:r>
        <w:br/>
      </w:r>
      <w:r>
        <w:t xml:space="preserve">Firma (o validación digital del formulario): ___________________________________________</w:t>
      </w:r>
      <w:r>
        <w:br/>
      </w:r>
      <w:r>
        <w:t xml:space="preserve">Aclaración: _______________________________________________________________________</w:t>
      </w:r>
    </w:p>
    <w:bookmarkEnd w:id="117"/>
    <w:bookmarkEnd w:id="118"/>
    <w:bookmarkEnd w:id="119"/>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recolección empírica contemplará de manera diferenciada a la comunidad académica de los Nodos Territoriales (Sierra Grande, Valcheta, Los Menucos y Ramos Mexía), administrando cuestionarios digitales y entrevistas a docentes tutores y estudiantes que cursan bajo la modalidad híbrida reglamentada por la Res. CD-CURZA N° 196/2022.</w:t>
      </w:r>
    </w:p>
  </w:footnote>
  <w:footnote w:id="39">
    <w:p>
      <w:pPr>
        <w:pStyle w:val="FootnoteText"/>
      </w:pPr>
      <w:r>
        <w:rPr>
          <w:rStyle w:val="FootnoteReference"/>
        </w:rPr>
        <w:footnoteRef/>
      </w:r>
      <w:r>
        <w:t xml:space="preserve"> </w:t>
      </w:r>
      <w:r>
        <w:t xml:space="preserve">En estricto cumplimiento del Decreto PEN N° 1246/2015 y la Ordenanza CS N° 0988/2025 (Arts. 65 a 76), el circuito formativo 360° carece de efectos sumativos y se mantiene desvinculado de los jurados cuatrienales de permanencia, garantizando que los reportes individuales no integren el legajo administrativo ni afecten la estabilidad laboral docente.</w:t>
      </w:r>
    </w:p>
  </w:footnote>
  <w:footnote w:id="42">
    <w:p>
      <w:pPr>
        <w:pStyle w:val="FootnoteText"/>
      </w:pPr>
      <w:r>
        <w:rPr>
          <w:rStyle w:val="FootnoteReference"/>
        </w:rPr>
        <w:footnoteRef/>
      </w:r>
      <w:r>
        <w:t xml:space="preserve"> </w:t>
      </w:r>
      <w:r>
        <w:t xml:space="preserve">En el plano técnico-metodológico, la articulación entre el diagnóstico formativo 360° y el Programa Anual de Formación (Art. 76) opera mediante una matriz digital de agregación temática implementada en un entorno estructurado de planilla de cálculo automatizada (o script de procesamiento de datos en el campus virtual Moodle/SIU). Este dispositivo procesa las respuestas cuantitativas y las demandas formativas cualitativas agrupándolas en ejes temáticos transversales (estrategias pedagógicas híbridas, evaluación de aprendizajes, uso de tecnologías en Nodos territoriales, dinámicas de tutoría). La matriz disocia de forma irreversible la identidad del docente evaluado —consolidando las frecuencias a nivel de área disciplinar o departamental global para impedir la trazabilidad individual incluso en asignaturas unipersonales—, garantizando que el Departamento de Administración Pública reciba exclusivamente patrones globales anonimizados de necesidades pedagógicas para planificar las capacitaciones institucionales, mientras que cada profesor/a accede en forma privada y confidencial a su propio reporte de retroalimentación reflexiva</w:t>
      </w:r>
      <w:r>
        <w:t xml:space="preserve"> </w:t>
      </w:r>
      <w:r>
        <w:t xml:space="preserve">(Longo, 2006)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11" Type="http://schemas.openxmlformats.org/officeDocument/2006/relationships/hyperlink" Target="https://academica.uncoma.edu.ar/wp-content/uploads/2025/08/ord_988_2025_55.pdf" TargetMode="External"/><Relationship Id="rId105" Type="http://schemas.openxmlformats.org/officeDocument/2006/relationships/hyperlink" Target="https://dialnet.unirioja.es/servlet/articulo?codigo=7242790" TargetMode="External"/><Relationship Id="rId107" Type="http://schemas.openxmlformats.org/officeDocument/2006/relationships/hyperlink" Target="https://doi.org/10.1177/1534484316671606" TargetMode="External"/><Relationship Id="rId102" Type="http://schemas.openxmlformats.org/officeDocument/2006/relationships/hyperlink" Target="https://doi.org/10.14507/epaa.28.5142" TargetMode="External"/><Relationship Id="rId81" Type="http://schemas.openxmlformats.org/officeDocument/2006/relationships/hyperlink" Target="https://doi.org/10.2307/3541464" TargetMode="External"/><Relationship Id="rId85" Type="http://schemas.openxmlformats.org/officeDocument/2006/relationships/hyperlink" Target="https://doi.org/10.2307/40184584" TargetMode="External"/><Relationship Id="rId75" Type="http://schemas.openxmlformats.org/officeDocument/2006/relationships/hyperlink" Target="https://doi.org/10.46553/colec.34.2023.p143-176" TargetMode="External"/><Relationship Id="rId109" Type="http://schemas.openxmlformats.org/officeDocument/2006/relationships/hyperlink" Target="https://fatu-uncoma.com.ar/fatu/wp-content/uploads/2024/03/0910-1997-Reglamento-de-carrera-docente.pdf" TargetMode="External"/><Relationship Id="rId98" Type="http://schemas.openxmlformats.org/officeDocument/2006/relationships/hyperlink" Target="https://medisur.sld.cu/index.php/medisur/article/view/2749" TargetMode="External"/><Relationship Id="rId70" Type="http://schemas.openxmlformats.org/officeDocument/2006/relationships/hyperlink" Target="https://ru.dgb.unam.mx/handle/123456789/4144" TargetMode="External"/><Relationship Id="rId78"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11" Type="http://schemas.openxmlformats.org/officeDocument/2006/relationships/hyperlink" Target="https://academica.uncoma.edu.ar/wp-content/uploads/2025/08/ord_988_2025_55.pdf" TargetMode="External"/><Relationship Id="rId105" Type="http://schemas.openxmlformats.org/officeDocument/2006/relationships/hyperlink" Target="https://dialnet.unirioja.es/servlet/articulo?codigo=7242790" TargetMode="External"/><Relationship Id="rId107" Type="http://schemas.openxmlformats.org/officeDocument/2006/relationships/hyperlink" Target="https://doi.org/10.1177/1534484316671606" TargetMode="External"/><Relationship Id="rId102" Type="http://schemas.openxmlformats.org/officeDocument/2006/relationships/hyperlink" Target="https://doi.org/10.14507/epaa.28.5142" TargetMode="External"/><Relationship Id="rId81" Type="http://schemas.openxmlformats.org/officeDocument/2006/relationships/hyperlink" Target="https://doi.org/10.2307/3541464" TargetMode="External"/><Relationship Id="rId85" Type="http://schemas.openxmlformats.org/officeDocument/2006/relationships/hyperlink" Target="https://doi.org/10.2307/40184584" TargetMode="External"/><Relationship Id="rId75" Type="http://schemas.openxmlformats.org/officeDocument/2006/relationships/hyperlink" Target="https://doi.org/10.46553/colec.34.2023.p143-176" TargetMode="External"/><Relationship Id="rId109" Type="http://schemas.openxmlformats.org/officeDocument/2006/relationships/hyperlink" Target="https://fatu-uncoma.com.ar/fatu/wp-content/uploads/2024/03/0910-1997-Reglamento-de-carrera-docente.pdf" TargetMode="External"/><Relationship Id="rId98" Type="http://schemas.openxmlformats.org/officeDocument/2006/relationships/hyperlink" Target="https://medisur.sld.cu/index.php/medisur/article/view/2749" TargetMode="External"/><Relationship Id="rId70" Type="http://schemas.openxmlformats.org/officeDocument/2006/relationships/hyperlink" Target="https://ru.dgb.unam.mx/handle/123456789/4144" TargetMode="External"/><Relationship Id="rId78"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2026-10-24T16:36:38Z</dcterms:created>
  <dcterms:modified xsi:type="dcterms:W3CDTF">2026-10-24T16:36:38Z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