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4</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4</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5</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Cogobierno y Negociación Paritaria Docente</w:t>
      </w:r>
      <w:r>
        <w:tab/>
      </w:r>
      <w:r>
        <w:rPr>
          <w:rFonts w:ascii="Arial" w:hAnsi="Arial"/>
          <w:sz w:val="22"/>
        </w:rPr>
        <w:t>14</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15</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15</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16</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17</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18</w:t>
      </w:r>
    </w:p>
    <w:p>
      <w:pPr>
        <w:pStyle w:val="TOC1"/>
        <w:tabs>
          <w:tab w:val="right" w:leader="dot" w:pos="9026"/>
        </w:tabs>
        <w:ind w:left="0"/>
        <w:spacing w:after="60"/>
      </w:pPr>
      <w:r>
        <w:rPr>
          <w:rFonts w:ascii="Arial" w:hAnsi="Arial"/>
          <w:sz w:val="22"/>
        </w:rPr>
        <w:t>Referencias Bibliográficas</w:t>
      </w:r>
      <w:r>
        <w:tab/>
      </w:r>
      <w:r>
        <w:rPr>
          <w:rFonts w:ascii="Arial" w:hAnsi="Arial"/>
          <w:sz w:val="22"/>
        </w:rPr>
        <w:t>20</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claustros expresan predisposición al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desconfianza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interclaustro profunda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percepciones de sus claustros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Claustro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 y modificatorias</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6"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0"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claustros y los canales de diálogo paritario docente. En las organizaciones públicas y cogobernadas, la evaluación docente toca directamente las relaciones laborales y la estabilidad en el empleo; por ende, su factibilidad depende de que se construyan acuerdos paritarios y resguardos éticos que disipen sospechas de arbitrariedad o persecución gremial.</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donde el propio docente reflexiona sobre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o colegas de cátedra:</w:t>
      </w:r>
      <w:r>
        <w:t xml:space="preserve"> </w:t>
      </w:r>
      <w:r>
        <w:t xml:space="preserve">Valoración colegiada realizada por docentes del mismo departamento o equipo, enfocada en la pertinencia conceptual, la rigurosidad disciplinar y el trabajo colaborativo.</w:t>
      </w:r>
    </w:p>
    <w:p>
      <w:pPr>
        <w:pStyle w:val="Compact"/>
        <w:numPr>
          <w:ilvl w:val="0"/>
          <w:numId w:val="1013"/>
        </w:numPr>
      </w:pPr>
      <w:r>
        <w:rPr>
          <w:b/>
          <w:bCs/>
        </w:rPr>
        <w:t xml:space="preserve">Heteroevaluación estudiantil:</w:t>
      </w:r>
      <w:r>
        <w:t xml:space="preserve"> </w:t>
      </w:r>
      <w:r>
        <w:t xml:space="preserve">Apreciación del claustro estudiantil centrada en la claridad expositiva, la accesibilidad de los recursos didácticos, la retroalimentación oportuna en evaluaciones y la empatía pedagógica.</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39" w:name="Xefa297f413be63d6451681d2fe2c4ab63fd02c2"/>
    <w:p>
      <w:pPr>
        <w:pStyle w:val="Heading3"/>
        <w:keepNext/>
        <w:spacing w:before="160" w:after="40" w:line="300" w:lineRule="auto"/>
      </w:pPr>
      <w:r>
        <w:rPr>
          <w:rFonts w:ascii="Arial" w:hAnsi="Arial"/>
          <w:b/>
          <w:i/>
          <w:sz w:val="24"/>
        </w:rPr>
        <w:t xml:space="preserve">Gobernanza Universitaria,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en el marco de la Administración Pública argentina</w:t>
      </w:r>
      <w:r>
        <w:t xml:space="preserve"> </w:t>
      </w:r>
      <w:r>
        <w:t xml:space="preserve">(Matus, 1993; Oszlak, 2020)</w:t>
      </w:r>
      <w:r>
        <w:t xml:space="preserve">.</w:t>
      </w:r>
    </w:p>
    <w:p>
      <w:pPr>
        <w:pStyle w:val="BodyText"/>
      </w:pPr>
      <w:r>
        <w:t xml:space="preserve">Siguiendo a Carlos</w:t>
      </w:r>
      <w:r>
        <w:t xml:space="preserve"> </w:t>
      </w:r>
      <w:r>
        <w:t xml:space="preserve">Matus (1993)</w:t>
      </w:r>
      <w:r>
        <w:t xml:space="preserve">, la gestión en organizaciones estatales complejas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la Universidad Nacional del Comahue y su sede descentralizada en Viedma (CURZAS), la gobernanza institucional se sustenta en tres instituciones fundamentales:</w:t>
      </w:r>
    </w:p>
    <w:p>
      <w:pPr>
        <w:numPr>
          <w:ilvl w:val="0"/>
          <w:numId w:val="1014"/>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numPr>
          <w:ilvl w:val="0"/>
          <w:numId w:val="1014"/>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numPr>
          <w:ilvl w:val="0"/>
          <w:numId w:val="1014"/>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p>
      <w:pPr>
        <w:pStyle w:val="FirstParagraph"/>
      </w:pPr>
      <w:r>
        <w:t xml:space="preserve">Por consiguiente, el marco teórico de esta investigación asume que la factibilidad de un dispositivo de evaluación 360° depende críticamente de su</w:t>
      </w:r>
      <w:r>
        <w:t xml:space="preserve"> </w:t>
      </w:r>
      <w:r>
        <w:rPr>
          <w:b/>
          <w:bCs/>
        </w:rPr>
        <w:t xml:space="preserve">blindaje ético y normativo</w:t>
      </w:r>
      <w:r>
        <w:t xml:space="preserve">: el modelo solo resulta viable en el CURZAS si se preserva como una herramienta estrictamente voluntaria, anónima, confidencial y formativa, completamente disociada de los circuitos estatutarios sancionatorios o sumativos de carrera docente. Su viabilidad exige ser consensuada en mesas de diálogo paritario docente y legitimada por los claustros en el seno del cogobierno universitario.</w:t>
      </w:r>
    </w:p>
    <w:bookmarkEnd w:id="39"/>
    <w:bookmarkEnd w:id="40"/>
    <w:bookmarkStart w:id="45"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1"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5"/>
        </w:numPr>
      </w:pPr>
      <w:r>
        <w:rPr>
          <w:b/>
          <w:bCs/>
        </w:rPr>
        <w:t xml:space="preserve">Sifuentes Ocegueda, Suárez Flores y Lara González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5"/>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5"/>
        </w:numPr>
      </w:pPr>
      <w:r>
        <w:rPr>
          <w:b/>
          <w:bCs/>
        </w:rPr>
        <w:t xml:space="preserve">Reyes y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bookmarkEnd w:id="41"/>
    <w:bookmarkStart w:id="42"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6"/>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6"/>
        </w:numPr>
      </w:pPr>
      <w:r>
        <w:rPr>
          <w:b/>
          <w:bCs/>
        </w:rPr>
        <w:t xml:space="preserve">Pérez, González y Castro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2"/>
    <w:bookmarkStart w:id="43"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17"/>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18"/>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18"/>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17"/>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persiste en los claustros una vacancia respecto a circuitos sistemáticos de retroalimentación formativa y confidencial que orienten la mejora continua del ejercicio docente.</w:t>
      </w:r>
    </w:p>
    <w:p>
      <w:pPr>
        <w:pStyle w:val="Compact"/>
        <w:numPr>
          <w:ilvl w:val="0"/>
          <w:numId w:val="1017"/>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evidenciando la necesidad y factibilidad de un modelo 360° adaptado a entornos híbridos.</w:t>
      </w:r>
    </w:p>
    <w:bookmarkEnd w:id="43"/>
    <w:bookmarkStart w:id="44"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mejorar la calidad formativa y la necesidad de diferenciar la evaluación del desarrollo de la fiscalización sumativa de la permanencia.</w:t>
      </w:r>
    </w:p>
    <w:p>
      <w:pPr>
        <w:pStyle w:val="BodyText"/>
      </w:pPr>
      <w:r>
        <w:t xml:space="preserve">No obstante, la revisión revela una evidente</w:t>
      </w:r>
      <w:r>
        <w:t xml:space="preserve"> </w:t>
      </w:r>
      <w:r>
        <w:rPr>
          <w:b/>
          <w:bCs/>
        </w:rPr>
        <w:t xml:space="preserve">vacancia de conocimiento empírico</w:t>
      </w:r>
      <w:r>
        <w:t xml:space="preserve">: existe abundante literatura sobre la validez métrica del modelo 360° en ámbitos corporativos o en universidades privadas, así como estudios sobre la carrera docente en grandes universidades urbanas argentinas, pero</w:t>
      </w:r>
      <w:r>
        <w:t xml:space="preserve"> </w:t>
      </w:r>
      <w:r>
        <w:rPr>
          <w:b/>
          <w:bCs/>
        </w:rPr>
        <w:t xml:space="preserve">se verifica una ausencia de investigaciones científicas sobre la factibilidad integral (organizacional, técnica, normativa y de gobernanza) de implementar un circuito de retroalimentación 360° en una unidad académica pública, descentralizada y patagónica, cogobernada por claustros y con sedes en territorio híbrido</w:t>
      </w:r>
      <w:r>
        <w:t xml:space="preserve">.</w:t>
      </w:r>
    </w:p>
    <w:p>
      <w:pPr>
        <w:pStyle w:val="BodyText"/>
      </w:pPr>
      <w:r>
        <w:t xml:space="preserve">En este espacio de vacancia se inscribe el aporte original y situado del presente Trabajo Final de Graduación.</w:t>
      </w:r>
    </w:p>
    <w:p>
      <w:r>
        <w:br w:type="page"/>
      </w:r>
    </w:p>
    <w:bookmarkEnd w:id="44"/>
    <w:bookmarkEnd w:id="45"/>
    <w:bookmarkEnd w:id="46"/>
    <w:bookmarkStart w:id="73" w:name="referencias-bibliográficas"/>
    <w:p>
      <w:pPr>
        <w:pStyle w:val="Heading1"/>
        <w:keepNext/>
        <w:spacing w:before="240" w:after="120" w:line="300" w:lineRule="auto"/>
        <w:jc w:val="center"/>
      </w:pPr>
      <w:r>
        <w:rPr>
          <w:rFonts w:ascii="Arial" w:hAnsi="Arial"/>
          <w:b/>
          <w:sz w:val="28"/>
        </w:rPr>
        <w:t xml:space="preserve">Referencias Bibliográficas</w:t>
      </w:r>
    </w:p>
    <w:bookmarkStart w:id="72" w:name="refs"/>
    <w:bookmarkStart w:id="47"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7"/>
    <w:bookmarkStart w:id="49"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48">
        <w:r>
          <w:rPr>
            <w:rStyle w:val="Hyperlink"/>
          </w:rPr>
          <w:t xml:space="preserve">https://web.curza.uncoma.edu.ar/educacion-distancia/nodos-curza-unco-region-sur</w:t>
        </w:r>
      </w:hyperlink>
    </w:p>
    <w:bookmarkEnd w:id="49"/>
    <w:bookmarkStart w:id="50"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0"/>
    <w:bookmarkStart w:id="52"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1">
        <w:r>
          <w:rPr>
            <w:rStyle w:val="Hyperlink"/>
          </w:rPr>
          <w:t xml:space="preserve">https://doi.org/10.2307/3541464</w:t>
        </w:r>
      </w:hyperlink>
    </w:p>
    <w:bookmarkEnd w:id="52"/>
    <w:bookmarkStart w:id="53" w:name="ref-pen2015"/>
    <w:p>
      <w:pPr>
        <w:pStyle w:val="Bibliography"/>
        <w:spacing w:after="120"/>
        <w:ind w:left="720" w:hanging="720"/>
        <w:jc w:val="left"/>
      </w:pPr>
      <w:r>
        <w:t xml:space="preserve">Decreto N° 1246/2015. Convenio Colectivo de Trabajo para los Docentes de las Instituciones Universitarias Nacionales (2015).</w:t>
      </w:r>
    </w:p>
    <w:bookmarkEnd w:id="53"/>
    <w:bookmarkStart w:id="54"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4"/>
    <w:bookmarkStart w:id="55"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5"/>
    <w:bookmarkStart w:id="56" w:name="ref-ministerio1995"/>
    <w:p>
      <w:pPr>
        <w:pStyle w:val="Bibliography"/>
        <w:spacing w:after="120"/>
        <w:ind w:left="720" w:hanging="720"/>
        <w:jc w:val="left"/>
      </w:pPr>
      <w:r>
        <w:t xml:space="preserve">Ley N° 24.521 de Educación Superior (1995).</w:t>
      </w:r>
    </w:p>
    <w:bookmarkEnd w:id="56"/>
    <w:bookmarkStart w:id="57"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57"/>
    <w:bookmarkStart w:id="58"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58"/>
    <w:bookmarkStart w:id="60"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59">
        <w:r>
          <w:rPr>
            <w:rStyle w:val="Hyperlink"/>
          </w:rPr>
          <w:t xml:space="preserve">https://medisur.sld.cu/index.php/medisur/article/view/2749</w:t>
        </w:r>
      </w:hyperlink>
    </w:p>
    <w:bookmarkEnd w:id="60"/>
    <w:bookmarkStart w:id="61"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1"/>
    <w:bookmarkStart w:id="62"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62"/>
    <w:bookmarkStart w:id="64"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63">
        <w:r>
          <w:rPr>
            <w:rStyle w:val="Hyperlink"/>
          </w:rPr>
          <w:t xml:space="preserve">https://dialnet.unirioja.es/descarga/articulo/7242790.pdf</w:t>
        </w:r>
      </w:hyperlink>
    </w:p>
    <w:bookmarkEnd w:id="64"/>
    <w:bookmarkStart w:id="66"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65">
        <w:r>
          <w:rPr>
            <w:rStyle w:val="Hyperlink"/>
          </w:rPr>
          <w:t xml:space="preserve">https://doi.org/10.1177/1534484316671606</w:t>
        </w:r>
      </w:hyperlink>
    </w:p>
    <w:bookmarkEnd w:id="66"/>
    <w:bookmarkStart w:id="68"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w:t>
      </w:r>
      <w:r>
        <w:t xml:space="preserve"> </w:t>
      </w:r>
      <w:hyperlink r:id="rId67">
        <w:r>
          <w:rPr>
            <w:rStyle w:val="Hyperlink"/>
          </w:rPr>
          <w:t xml:space="preserve">https://fatu-uncoma.com.ar/fatu/wp-content/uploads/2024/03/0910-1997-Reglamento-de-carrera-docente.pdf</w:t>
        </w:r>
      </w:hyperlink>
    </w:p>
    <w:bookmarkEnd w:id="68"/>
    <w:bookmarkStart w:id="70"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w:t>
      </w:r>
      <w:r>
        <w:t xml:space="preserve"> </w:t>
      </w:r>
      <w:hyperlink r:id="rId69">
        <w:r>
          <w:rPr>
            <w:rStyle w:val="Hyperlink"/>
          </w:rPr>
          <w:t xml:space="preserve">https://academica.uncoma.edu.ar/wp-content/uploads/2025/08/ord_988_2025_55.pdf</w:t>
        </w:r>
      </w:hyperlink>
    </w:p>
    <w:bookmarkEnd w:id="70"/>
    <w:bookmarkStart w:id="71"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1"/>
    <w:bookmarkEnd w:id="72"/>
    <w:bookmarkEnd w:id="73"/>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69" Type="http://schemas.openxmlformats.org/officeDocument/2006/relationships/hyperlink" Target="https://academica.uncoma.edu.ar/wp-content/uploads/2025/08/ord_988_2025_55.pdf" TargetMode="External"/><Relationship Id="rId63" Type="http://schemas.openxmlformats.org/officeDocument/2006/relationships/hyperlink" Target="https://dialnet.unirioja.es/descarga/articulo/7242790.pdf" TargetMode="External"/><Relationship Id="rId65" Type="http://schemas.openxmlformats.org/officeDocument/2006/relationships/hyperlink" Target="https://doi.org/10.1177/1534484316671606" TargetMode="External"/><Relationship Id="rId51" Type="http://schemas.openxmlformats.org/officeDocument/2006/relationships/hyperlink" Target="https://doi.org/10.2307/3541464" TargetMode="External"/><Relationship Id="rId67" Type="http://schemas.openxmlformats.org/officeDocument/2006/relationships/hyperlink" Target="https://fatu-uncoma.com.ar/fatu/wp-content/uploads/2024/03/0910-1997-Reglamento-de-carrera-docente.pdf" TargetMode="External"/><Relationship Id="rId59" Type="http://schemas.openxmlformats.org/officeDocument/2006/relationships/hyperlink" Target="https://medisur.sld.cu/index.php/medisur/article/view/2749" TargetMode="External"/><Relationship Id="rId48"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69" Type="http://schemas.openxmlformats.org/officeDocument/2006/relationships/hyperlink" Target="https://academica.uncoma.edu.ar/wp-content/uploads/2025/08/ord_988_2025_55.pdf" TargetMode="External"/><Relationship Id="rId63" Type="http://schemas.openxmlformats.org/officeDocument/2006/relationships/hyperlink" Target="https://dialnet.unirioja.es/descarga/articulo/7242790.pdf" TargetMode="External"/><Relationship Id="rId65" Type="http://schemas.openxmlformats.org/officeDocument/2006/relationships/hyperlink" Target="https://doi.org/10.1177/1534484316671606" TargetMode="External"/><Relationship Id="rId51" Type="http://schemas.openxmlformats.org/officeDocument/2006/relationships/hyperlink" Target="https://doi.org/10.2307/3541464" TargetMode="External"/><Relationship Id="rId67" Type="http://schemas.openxmlformats.org/officeDocument/2006/relationships/hyperlink" Target="https://fatu-uncoma.com.ar/fatu/wp-content/uploads/2024/03/0910-1997-Reglamento-de-carrera-docente.pdf" TargetMode="External"/><Relationship Id="rId59" Type="http://schemas.openxmlformats.org/officeDocument/2006/relationships/hyperlink" Target="https://medisur.sld.cu/index.php/medisur/article/view/2749" TargetMode="External"/><Relationship Id="rId48"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2026-09-29T01:55:48Z</dcterms:created>
  <dcterms:modified xsi:type="dcterms:W3CDTF">2026-09-29T01:55:48Z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