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9</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12</w:t>
      </w:r>
    </w:p>
    <w:p>
      <w:pPr>
        <w:pStyle w:val="TOC1"/>
        <w:tabs>
          <w:tab w:val="right" w:leader="dot" w:pos="9026"/>
        </w:tabs>
        <w:ind w:left="0"/>
        <w:spacing w:after="60"/>
      </w:pPr>
      <w:r>
        <w:rPr>
          <w:rFonts w:ascii="Arial" w:hAnsi="Arial"/>
          <w:sz w:val="22"/>
        </w:rPr>
        <w:t>Bibliografía</w:t>
      </w:r>
      <w:r>
        <w:tab/>
      </w:r>
      <w:r>
        <w:rPr>
          <w:rFonts w:ascii="Arial" w:hAnsi="Arial"/>
          <w:sz w:val="22"/>
        </w:rPr>
        <w:t>12</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0920/2019 y sus modificatorias)</w:t>
      </w:r>
      <w:r>
        <w:t xml:space="preserve"> </w:t>
      </w:r>
      <w:r>
        <w:t xml:space="preserve">(Universidad Nacional del Comahue, 2019)</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 circuito de retroalimentación 360° estrictamente formativo, confidencial e independiente del legajo sumativo.</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 gobernanza universitaria: un espacio colegiado donde las políticas de gestión de personas se construyen sobre</w:t>
      </w:r>
      <w:r>
        <w:t xml:space="preserve"> </w:t>
      </w:r>
      <w:r>
        <w:rPr>
          <w:i/>
          <w:iCs/>
        </w:rPr>
        <w:t xml:space="preserve">variables de control compartido</w:t>
      </w:r>
      <w:r>
        <w:t xml:space="preserve"> </w:t>
      </w:r>
      <w:r>
        <w:t xml:space="preserve">(Longo, 2006;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Condiciones de factibilidad organizacional, técnica, normativa y de gobernanza para la implementación de un modelo de retroalimentación multiactoral (360°) en la evaluación del desempeño docente en el Departamento de Administración Pública del CURZAS-UNCo.</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(2006)</w:t>
      </w:r>
      <w:r>
        <w:t xml:space="preserve">].</w:t>
      </w:r>
    </w:p>
    <w:p>
      <w:pPr>
        <w:pStyle w:val="Compact"/>
        <w:numPr>
          <w:ilvl w:val="0"/>
          <w:numId w:val="1001"/>
        </w:numPr>
      </w:pPr>
      <w:r>
        <w:rPr>
          <w:b/>
          <w:bCs/>
        </w:rPr>
        <w:t xml:space="preserve">Delimitación Temporal:</w:t>
      </w:r>
      <w:r>
        <w:t xml:space="preserve"> </w:t>
      </w:r>
      <w:r>
        <w:t xml:space="preserve">Período de investigación 2025–2026, organizado en dos etapas:</w:t>
      </w:r>
    </w:p>
    <w:p>
      <w:pPr>
        <w:pStyle w:val="Compact"/>
        <w:numPr>
          <w:ilvl w:val="1"/>
          <w:numId w:val="1002"/>
        </w:numPr>
      </w:pPr>
      <w:r>
        <w:rPr>
          <w:b/>
          <w:bCs/>
        </w:rPr>
        <w:t xml:space="preserve">Fase preliminar y documental (2025–primer semestre 2026):</w:t>
      </w:r>
      <w:r>
        <w:t xml:space="preserve"> </w:t>
      </w:r>
      <w:r>
        <w:t xml:space="preserve">Formulación del problema, revisión bibliográfica sistemática sobre evaluación 360°, análisis normativo institucional (Estatuto UNCo, Ordenanza CS N° 0988/2025; Carrera Docente, Ordenanza CS N° 0920/2019 con sus modificatorias;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(Provincia de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 factibilidad en esta investigación no se concibe como una viabilidad técnica abstracta ni como una imposición gerencial vertical. Se define operativamente como la convergencia de condiciones normativas, organizacionales, técnicas y de legitimidad institucional que permitan implementar un modelo de retroalimentación 360° con sentido formativo y sin vulnerar derechos laborales adquiridos.</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2006;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Superior y Consejo Directivo) y mesas paritarias docentes</w:t>
            </w:r>
          </w:p>
        </w:tc>
        <w:tc>
          <w:tcPr/>
          <w:p>
            <w:pPr>
              <w:pStyle w:val="Compact"/>
              <w:jc w:val="left"/>
            </w:pPr>
            <w:r>
              <w:t xml:space="preserve">Acuerdos colegiados; consulta a representaciones gremiales y departamentales sobre variables de control compartido</w:t>
            </w:r>
          </w:p>
        </w:tc>
      </w:tr>
    </w:tbl>
    <w:p>
      <w:pPr>
        <w:pStyle w:val="BodyText"/>
      </w:pPr>
      <w:r>
        <w:rPr>
          <w:i/>
          <w:iCs/>
        </w:rPr>
        <w:t xml:space="preserve">Nota.</w:t>
      </w:r>
      <w:r>
        <w:t xml:space="preserve"> </w:t>
      </w:r>
      <w:r>
        <w:t xml:space="preserve">Elaboración propia en base a las dimensiones de factibilidad analítica y el marco normativo de la Universidad Nacional del Comahue.</w:t>
      </w:r>
    </w:p>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gestión previa: acuerdos paritarios sobre confidencialidad, adecuación de plataformas digitales, talleres de sensibilización, aprobación de órganos colegiados o implementación mediante pruebas piloto graduadas</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¿Cuáles son las condiciones de factibilidad organizacional, técnica, normativa y de gobernanza para la implementación de un modelo de retroalimentación de 360 grados en la evaluación del desempeño docente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(2006)</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p>
    <w:p>
      <w:pPr>
        <w:pStyle w:val="Compact"/>
        <w:numPr>
          <w:ilvl w:val="0"/>
          <w:numId w:val="1004"/>
        </w:numPr>
      </w:pPr>
      <w:r>
        <w:rPr>
          <w:i/>
          <w:i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p>
    <w:p>
      <w:pPr>
        <w:pStyle w:val="Compact"/>
        <w:numPr>
          <w:ilvl w:val="0"/>
          <w:numId w:val="1004"/>
        </w:numPr>
      </w:pPr>
      <w:r>
        <w:rPr>
          <w:i/>
          <w:i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p>
    <w:p>
      <w:pPr>
        <w:pStyle w:val="Compact"/>
        <w:numPr>
          <w:ilvl w:val="0"/>
          <w:numId w:val="1004"/>
        </w:numPr>
      </w:pPr>
      <w:r>
        <w:rPr>
          <w:i/>
          <w:i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5"/>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6"/>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t xml:space="preserve">Explorar las percepciones, disposiciones y expectativas de los distintos claustros involucrados (docentes y estudiantes) y de las autoridades departamentales respecto a la retroalimentación multiactoral (360°) y las condiciones de confianza institucional requeridas.</w:t>
      </w:r>
    </w:p>
    <w:p>
      <w:pPr>
        <w:pStyle w:val="Compact"/>
        <w:numPr>
          <w:ilvl w:val="0"/>
          <w:numId w:val="1006"/>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6"/>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2"/>
        <w:keepNext/>
        <w:spacing w:before="200" w:after="80" w:line="300" w:lineRule="auto"/>
      </w:pPr>
      <w:r>
        <w:rPr>
          <w:rFonts w:ascii="Arial" w:hAnsi="Arial"/>
          <w:b/>
          <w:sz w:val="24"/>
        </w:rPr>
        <w:t xml:space="preserve">4.3 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7"/>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7"/>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7"/>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7"/>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Start w:id="51" w:name="referencias"/>
    <w:p>
      <w:pPr>
        <w:pStyle w:val="Heading1"/>
        <w:keepNext/>
        <w:spacing w:before="240" w:after="120" w:line="300" w:lineRule="auto"/>
        <w:jc w:val="center"/>
      </w:pPr>
      <w:r>
        <w:rPr>
          <w:rFonts w:ascii="Arial" w:hAnsi="Arial"/>
          <w:b/>
          <w:sz w:val="28"/>
        </w:rPr>
        <w:t xml:space="preserve">Referencias</w:t>
      </w:r>
    </w:p>
    <w:bookmarkStart w:id="50"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uncocurzas2023"/>
    <w:p>
      <w:pPr>
        <w:pStyle w:val="Bibliography"/>
        <w:spacing w:after="120"/>
        <w:ind w:left="720" w:hanging="720"/>
        <w:jc w:val="left"/>
      </w:pPr>
      <w:r>
        <w:t xml:space="preserve">Consejo Directivo del CURZAS. (2023).</w:t>
      </w:r>
      <w:r>
        <w:t xml:space="preserve"> </w:t>
      </w:r>
      <w:r>
        <w:rPr>
          <w:i/>
          <w:iCs/>
        </w:rPr>
        <w:t xml:space="preserve">Resolución CD-CURZAS N° 266/23: Reglamento de Trabajo Final de Graduación (TFG) para las carreras del Departamento de Administración Pública</w:t>
      </w:r>
      <w:r>
        <w:t xml:space="preserve">. Universidad Nacional del Comahue.</w:t>
      </w:r>
    </w:p>
    <w:bookmarkEnd w:id="36"/>
    <w:bookmarkStart w:id="37" w:name="ref-pen2015"/>
    <w:p>
      <w:pPr>
        <w:pStyle w:val="Bibliography"/>
        <w:spacing w:after="120"/>
        <w:ind w:left="720" w:hanging="720"/>
        <w:jc w:val="left"/>
      </w:pPr>
      <w:r>
        <w:t xml:space="preserve">Decreto N° 1246/2015. Convenio Colectivo de Trabajo para los Docentes de las Instituciones Universitarias Nacionales (2015).</w:t>
      </w:r>
    </w:p>
    <w:bookmarkEnd w:id="37"/>
    <w:bookmarkStart w:id="38" w:name="ref-ministerio1995"/>
    <w:p>
      <w:pPr>
        <w:pStyle w:val="Bibliography"/>
        <w:spacing w:after="120"/>
        <w:ind w:left="720" w:hanging="720"/>
        <w:jc w:val="left"/>
      </w:pPr>
      <w:r>
        <w:t xml:space="preserve">Ley N° 24.521 de Educación Superior (1995).</w:t>
      </w:r>
    </w:p>
    <w:bookmarkEnd w:id="38"/>
    <w:bookmarkStart w:id="39"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39"/>
    <w:bookmarkStart w:id="40"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40"/>
    <w:bookmarkStart w:id="42"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1">
        <w:r>
          <w:rPr>
            <w:rStyle w:val="Hyperlink"/>
          </w:rPr>
          <w:t xml:space="preserve">https://medisur.sld.cu/index.php/medisur/article/view/2749</w:t>
        </w:r>
      </w:hyperlink>
    </w:p>
    <w:bookmarkEnd w:id="42"/>
    <w:bookmarkStart w:id="43"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3"/>
    <w:bookmarkStart w:id="4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4"/>
    <w:bookmarkStart w:id="4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45">
        <w:r>
          <w:rPr>
            <w:rStyle w:val="Hyperlink"/>
          </w:rPr>
          <w:t xml:space="preserve">https://dialnet.unirioja.es/descarga/articulo/7242790.pdf</w:t>
        </w:r>
      </w:hyperlink>
    </w:p>
    <w:bookmarkEnd w:id="46"/>
    <w:bookmarkStart w:id="47"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7"/>
    <w:bookmarkStart w:id="48"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8"/>
    <w:bookmarkStart w:id="4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9"/>
    <w:bookmarkEnd w:id="50"/>
    <w:bookmarkEnd w:id="51"/>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45" Type="http://schemas.openxmlformats.org/officeDocument/2006/relationships/hyperlink" Target="https://dialnet.unirioja.es/descarga/articulo/7242790.pdf" TargetMode="External"/><Relationship Id="rId41"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dialnet.unirioja.es/descarga/articulo/7242790.pdf" TargetMode="External"/><Relationship Id="rId41"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2026-09-28T22:46:27Z</dcterms:created>
  <dcterms:modified xsi:type="dcterms:W3CDTF">2026-09-28T22:46:27Z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