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953"/>
        <w:tblLayout w:type="fixed"/>
        <w:tblLook w:firstRow="0" w:lastRow="0" w:firstColumn="0" w:lastColumn="0" w:noHBand="0" w:noVBand="0" w:val="0000"/>
      </w:tblPr>
      <w:tblGrid>
        <w:gridCol w:w="2738"/>
        <w:gridCol w:w="4737"/>
        <w:gridCol w:w="370"/>
      </w:tblGrid>
      <w:tr>
        <w:tc>
          <w:tcPr>
            <w:vMerge w:val="restart"/>
          </w:tcPr>
          <w:p>
            <w:pPr>
              <w:pStyle w:val="Heading1"/>
            </w:pPr>
            <w:bookmarkStart w:id="9" w:name="título"/>
            <w:r>
              <w:t xml:space="preserve">Título:</w:t>
            </w:r>
            <w:bookmarkEnd w:id="9"/>
          </w:p>
          <w:p>
            <w:pPr>
              <w:pStyle w:val="FirstParagraph"/>
            </w:pPr>
            <w:r>
              <w:rPr>
                <w:b/>
                <w:bCs/>
              </w:rPr>
              <w:t xml:space="preserve">Título del artículo</w:t>
            </w:r>
          </w:p>
        </w:tc>
        <w:tc>
          <w:tcPr>
            <w:vMerge w:val="restart"/>
          </w:tcPr>
          <w:p>
            <w:pPr>
              <w:pStyle w:val="Heading1"/>
            </w:pPr>
            <w:bookmarkStart w:id="10" w:name="X69d83628ac1f4756dd5577212187bd40dec53a2"/>
            <w:r>
              <w:t xml:space="preserve">Componentes identificados en el artículo científico</w:t>
            </w:r>
            <w:bookmarkEnd w:id="10"/>
          </w:p>
          <w:p>
            <w:pPr>
              <w:pStyle w:val="FirstParagraph"/>
            </w:pPr>
            <w:r>
              <w:rPr>
                <w:b/>
                <w:bCs/>
              </w:rPr>
              <w:t xml:space="preserve">El rol de la Inteligencia Artificial en los procesos de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reclutamiento y selección en la Gestión del Talento Humano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Referencia APA 7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Gonzabay Quirumbay, I. A., &amp; Pacheco Barzallo, S. K. (2024). |</w:t>
            </w:r>
            <w:r>
              <w:t xml:space="preserve"> </w:t>
            </w:r>
            <w:r>
              <w:rPr>
                <w:i/>
                <w:iCs/>
              </w:rPr>
              <w:t xml:space="preserve">Reincisol</w:t>
            </w:r>
            <w:r>
              <w:t xml:space="preserve">, 3(6), 3880–3902. |</w:t>
            </w:r>
            <w:r>
              <w:t xml:space="preserve"> </w:t>
            </w:r>
            <w:r>
              <w:t xml:space="preserve">https://www.reincisol.com/ojs/index.php/reincisol/article/view/396</w:t>
            </w: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Objetivo general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Objetivos específicos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Objetivo general:</w:t>
            </w:r>
            <w:r>
              <w:t xml:space="preserve"> </w:t>
            </w:r>
            <w:r>
              <w:t xml:space="preserve">Explorar el rol de la IA…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Objetivos específicos:</w:t>
            </w:r>
            <w:r>
              <w:t xml:space="preserve"> </w:t>
            </w:r>
            <w:r>
              <w:t xml:space="preserve">1. Sistematizar los roles de la IA.</w:t>
            </w:r>
            <w:r>
              <w:t xml:space="preserve"> </w:t>
            </w:r>
            <w:r>
              <w:t xml:space="preserve">2. Evaluar la eficacia percibida.</w:t>
            </w:r>
            <w:r>
              <w:t xml:space="preserve"> </w:t>
            </w:r>
            <w:r>
              <w:t xml:space="preserve">3. Analizar el impacto organizacional.</w:t>
            </w: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2026-09-13T04:38:52Z</dcterms:created>
  <dcterms:modified xsi:type="dcterms:W3CDTF">2026-09-13T04:38:52Z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