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7</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7</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7</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8</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8</w:t>
      </w:r>
    </w:p>
    <w:p>
      <w:pPr>
        <w:pStyle w:val="TOC3"/>
        <w:tabs>
          <w:tab w:val="right" w:leader="dot" w:pos="9026"/>
        </w:tabs>
        <w:ind w:left="560"/>
        <w:spacing w:after="60"/>
      </w:pPr>
      <w:r>
        <w:rPr>
          <w:rFonts w:ascii="Arial" w:hAnsi="Arial"/>
          <w:sz w:val="22"/>
        </w:rPr>
        <w:t>Objetivo General</w:t>
      </w:r>
      <w:r>
        <w:tab/>
      </w:r>
      <w:r>
        <w:rPr>
          <w:rFonts w:ascii="Arial" w:hAnsi="Arial"/>
          <w:sz w:val="22"/>
        </w:rPr>
        <w:t>8</w:t>
      </w:r>
    </w:p>
    <w:p>
      <w:pPr>
        <w:pStyle w:val="TOC3"/>
        <w:tabs>
          <w:tab w:val="right" w:leader="dot" w:pos="9026"/>
        </w:tabs>
        <w:ind w:left="560"/>
        <w:spacing w:after="60"/>
      </w:pPr>
      <w:r>
        <w:rPr>
          <w:rFonts w:ascii="Arial" w:hAnsi="Arial"/>
          <w:sz w:val="22"/>
        </w:rPr>
        <w:t>Objetivos Específicos</w:t>
      </w:r>
      <w:r>
        <w:tab/>
      </w:r>
      <w:r>
        <w:rPr>
          <w:rFonts w:ascii="Arial" w:hAnsi="Arial"/>
          <w:sz w:val="22"/>
        </w:rPr>
        <w:t>8</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11</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11</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11</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12</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13</w:t>
      </w:r>
    </w:p>
    <w:p>
      <w:pPr>
        <w:pStyle w:val="TOC3"/>
        <w:tabs>
          <w:tab w:val="right" w:leader="dot" w:pos="9026"/>
        </w:tabs>
        <w:ind w:left="560"/>
        <w:spacing w:after="60"/>
      </w:pPr>
      <w:r>
        <w:rPr>
          <w:rFonts w:ascii="Arial" w:hAnsi="Arial"/>
          <w:sz w:val="22"/>
        </w:rPr>
        <w:t>Gobernanza Universitaria, Cogobierno y Negociación Paritaria Docente</w:t>
      </w:r>
      <w:r>
        <w:tab/>
      </w:r>
      <w:r>
        <w:rPr>
          <w:rFonts w:ascii="Arial" w:hAnsi="Arial"/>
          <w:sz w:val="22"/>
        </w:rPr>
        <w:t>14</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15</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16</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16</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17</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18</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19</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20</w:t>
      </w:r>
    </w:p>
    <w:p>
      <w:pPr>
        <w:pStyle w:val="TOC1"/>
        <w:tabs>
          <w:tab w:val="right" w:leader="dot" w:pos="9026"/>
        </w:tabs>
        <w:ind w:left="0"/>
        <w:spacing w:after="60"/>
      </w:pPr>
      <w:r>
        <w:rPr>
          <w:rFonts w:ascii="Arial" w:hAnsi="Arial"/>
          <w:sz w:val="22"/>
        </w:rPr>
        <w:t>Referencias Bibliográficas</w:t>
      </w:r>
      <w:r>
        <w:tab/>
      </w:r>
      <w:r>
        <w:rPr>
          <w:rFonts w:ascii="Arial" w:hAnsi="Arial"/>
          <w:sz w:val="22"/>
        </w:rPr>
        <w:t>21</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0"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CS N° 0910/1997 y modificatorias,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de Gobernanza y Diálogo Institucional:</w:t>
      </w:r>
      <w:r>
        <w:t xml:space="preserve"> </w:t>
      </w:r>
      <w:r>
        <w:t xml:space="preserve">Posibilidad de construir acuerdos en el seno del Consejo Departamental, instancias de cogobierno y representaciones gremiales docentes para consensuar criterios, resguardos de confidencialidad y el uso pedagógico de los resultados</w:t>
      </w:r>
      <w:r>
        <w:t xml:space="preserve"> </w:t>
      </w:r>
      <w:r>
        <w:t xml:space="preserve">(Matus, 1993)</w:t>
      </w:r>
      <w:r>
        <w:t xml:space="preserve">.</w:t>
      </w:r>
    </w:p>
    <w:bookmarkEnd w:id="21"/>
    <w:bookmarkStart w:id="22" w:name="X5965ca74dc7a4b9398fc285497af16a05ed033f"/>
    <w:p>
      <w:pPr>
        <w:pStyle w:val="Heading4"/>
      </w:pPr>
      <w:r>
        <w:t xml:space="preserve">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temores expresados frente a la coevaluación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carga operativa requerida para responder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y Diálogo Institucional:</w:t>
      </w:r>
      <w:r>
        <w:t xml:space="preserve"> </w:t>
      </w:r>
      <w:r>
        <w:t xml:space="preserve">Se explorará mediante entrevistas a autoridades departamentales y delegados gremiales. Los indicadores incluyen: consensos sobre el uso de la información, mecanismos de consulta previa y articulación de los hallazgos con los programas de capacitación docente del Departamento.</w:t>
      </w:r>
    </w:p>
    <w:bookmarkEnd w:id="22"/>
    <w:bookmarkStart w:id="23"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actores institucionales involucrados (docentes y estudiantes) expresan apertura y predisposición hacia el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reparos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profunda entre los distintos actores de la comunidad académica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6"/>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Definición de Objetivos del TFG</w:t>
      </w:r>
    </w:p>
    <w:bookmarkStart w:id="31"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7"/>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 y modificatorias</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48"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2"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6"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10"/>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10"/>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10"/>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6"/>
    <w:bookmarkStart w:id="37"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1"/>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1"/>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1"/>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1"/>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37"/>
    <w:bookmarkStart w:id="38"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2"/>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2"/>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3"/>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3"/>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3"/>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3"/>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38"/>
    <w:bookmarkStart w:id="41" w:name="Xefa297f413be63d6451681d2fe2c4ab63fd02c2"/>
    <w:p>
      <w:pPr>
        <w:pStyle w:val="Heading3"/>
        <w:keepNext/>
        <w:spacing w:before="160" w:after="40" w:line="300" w:lineRule="auto"/>
      </w:pPr>
      <w:r>
        <w:rPr>
          <w:rFonts w:ascii="Arial" w:hAnsi="Arial"/>
          <w:b/>
          <w:i/>
          <w:sz w:val="24"/>
        </w:rPr>
        <w:t xml:space="preserve">Gobernanza Universitaria,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en el marco de la Administración Pública argentina</w:t>
      </w:r>
      <w:r>
        <w:t xml:space="preserve"> </w:t>
      </w:r>
      <w:r>
        <w:t xml:space="preserve">(Matus, 1993; Oszlak, 2020)</w:t>
      </w:r>
      <w:r>
        <w:t xml:space="preserve">.</w:t>
      </w:r>
    </w:p>
    <w:p>
      <w:pPr>
        <w:pStyle w:val="BodyText"/>
      </w:pPr>
      <w:r>
        <w:t xml:space="preserve">Siguiendo a Carlos</w:t>
      </w:r>
      <w:r>
        <w:t xml:space="preserve"> </w:t>
      </w:r>
      <w:r>
        <w:t xml:space="preserve">Matus (1993)</w:t>
      </w:r>
      <w:r>
        <w:t xml:space="preserve">, la gestión en organizaciones estatales complejas se desenvuelve en escenarios de poder compartido y conflicto legítimo de intereses. Las decisiones no se imponen jerárquicamente por decreto; requieren construir consensos sobre</w:t>
      </w:r>
      <w:r>
        <w:t xml:space="preserve"> </w:t>
      </w:r>
      <w:r>
        <w:rPr>
          <w:i/>
          <w:iCs/>
        </w:rPr>
        <w:t xml:space="preserve">variables de control compartido</w:t>
      </w:r>
      <w:r>
        <w:t xml:space="preserve">. En la Universidad Nacional del Comahue y su sede descentralizada en Viedma (CURZAS), la gobernanza institucional se sustenta en tres instituciones fundamentales:</w:t>
      </w:r>
    </w:p>
    <w:p>
      <w:pPr>
        <w:pStyle w:val="Compact"/>
        <w:numPr>
          <w:ilvl w:val="0"/>
          <w:numId w:val="1014"/>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4"/>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4"/>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p>
    <w:bookmarkStart w:id="39"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5"/>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5"/>
        </w:numPr>
      </w:pPr>
      <w:r>
        <w:rPr>
          <w:b/>
          <w:bCs/>
        </w:rPr>
        <w:t xml:space="preserve">Categoría analítica de la investigación (</w:t>
      </w:r>
      <w:r>
        <w:rPr>
          <w:b/>
          <w:bCs/>
          <w:i/>
          <w:iCs/>
        </w:rPr>
        <w:t xml:space="preserve">actores y sujetos institucionales</w:t>
      </w:r>
      <w:r>
        <w:rPr>
          <w:b/>
          <w:bCs/>
        </w:rPr>
        <w:t xml:space="preserve">):</w:t>
      </w:r>
      <w:r>
        <w:t xml:space="preserve"> </w:t>
      </w:r>
      <w:r>
        <w:t xml:space="preserve">Comprende a los</w:t>
      </w:r>
      <w:r>
        <w:t xml:space="preserve"> </w:t>
      </w:r>
      <w:r>
        <w:rPr>
          <w:i/>
          <w:iCs/>
        </w:rPr>
        <w:t xml:space="preserve">actores institucionales</w:t>
      </w:r>
      <w:r>
        <w:t xml:space="preserve">,</w:t>
      </w:r>
      <w:r>
        <w:t xml:space="preserve"> </w:t>
      </w:r>
      <w:r>
        <w:rPr>
          <w:i/>
          <w:iCs/>
        </w:rPr>
        <w:t xml:space="preserve">colectivos universitarios</w:t>
      </w:r>
      <w:r>
        <w:t xml:space="preserve">,</w:t>
      </w:r>
      <w:r>
        <w:t xml:space="preserve"> </w:t>
      </w:r>
      <w:r>
        <w:rPr>
          <w:i/>
          <w:iCs/>
        </w:rPr>
        <w:t xml:space="preserve">participantes</w:t>
      </w:r>
      <w:r>
        <w:t xml:space="preserve">,</w:t>
      </w:r>
      <w:r>
        <w:t xml:space="preserve"> </w:t>
      </w:r>
      <w:r>
        <w:rPr>
          <w:i/>
          <w:iCs/>
        </w:rPr>
        <w:t xml:space="preserve">pares docentes</w:t>
      </w:r>
      <w:r>
        <w:t xml:space="preserve">,</w:t>
      </w:r>
      <w:r>
        <w:t xml:space="preserve"> </w:t>
      </w:r>
      <w:r>
        <w:rPr>
          <w:i/>
          <w:iCs/>
        </w:rPr>
        <w:t xml:space="preserve">estudiantes</w:t>
      </w:r>
      <w:r>
        <w:t xml:space="preserve">,</w:t>
      </w:r>
      <w:r>
        <w:t xml:space="preserve"> </w:t>
      </w:r>
      <w:r>
        <w:rPr>
          <w:i/>
          <w:iCs/>
        </w:rPr>
        <w:t xml:space="preserve">autoridades académicas</w:t>
      </w:r>
      <w:r>
        <w:t xml:space="preserve"> </w:t>
      </w:r>
      <w:r>
        <w:t xml:space="preserve">y</w:t>
      </w:r>
      <w:r>
        <w:t xml:space="preserve"> </w:t>
      </w:r>
      <w:r>
        <w:rPr>
          <w:i/>
          <w:iCs/>
        </w:rPr>
        <w:t xml:space="preserve">representantes gremiales</w:t>
      </w:r>
      <w:r>
        <w:t xml:space="preserve">. Esta categoría analítica permite captar las prácticas concretas, las representaciones subjetivas, el clima relacional, la confianza intersubjetiva y las disposiciones cotidianas frente al trabajo pedagógico.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6"/>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6"/>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6"/>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6"/>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39"/>
    <w:bookmarkStart w:id="40"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w:t>
      </w:r>
      <w:r>
        <w:t xml:space="preserve"> </w:t>
      </w:r>
      <w:r>
        <w:rPr>
          <w:b/>
          <w:bCs/>
        </w:rPr>
        <w:t xml:space="preserve">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r>
        <w:t xml:space="preserve">.</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técnicos, de sobrecarga operativa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w:t>
      </w:r>
    </w:p>
    <w:bookmarkEnd w:id="40"/>
    <w:bookmarkEnd w:id="41"/>
    <w:bookmarkEnd w:id="42"/>
    <w:bookmarkStart w:id="47"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43"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7"/>
        </w:numPr>
      </w:pPr>
      <w:r>
        <w:rPr>
          <w:b/>
          <w:bCs/>
        </w:rPr>
        <w:t xml:space="preserve">Sifuentes Ocegueda, Suárez Flores y Lara González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7"/>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7"/>
        </w:numPr>
      </w:pPr>
      <w:r>
        <w:rPr>
          <w:b/>
          <w:bCs/>
        </w:rPr>
        <w:t xml:space="preserve">Reyes y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bookmarkEnd w:id="43"/>
    <w:bookmarkStart w:id="44"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18"/>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18"/>
        </w:numPr>
      </w:pPr>
      <w:r>
        <w:rPr>
          <w:b/>
          <w:bCs/>
        </w:rPr>
        <w:t xml:space="preserve">Pérez, González y Castro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44"/>
    <w:bookmarkStart w:id="45"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19"/>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0"/>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0"/>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19"/>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19"/>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45"/>
    <w:bookmarkStart w:id="46"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46"/>
    <w:bookmarkEnd w:id="47"/>
    <w:bookmarkEnd w:id="48"/>
    <w:bookmarkStart w:id="75" w:name="referencias-bibliográficas"/>
    <w:p>
      <w:pPr>
        <w:pStyle w:val="Heading1"/>
        <w:keepNext/>
        <w:spacing w:before="240" w:after="120" w:line="300" w:lineRule="auto"/>
        <w:jc w:val="center"/>
      </w:pPr>
      <w:r>
        <w:rPr>
          <w:rFonts w:ascii="Arial" w:hAnsi="Arial"/>
          <w:b/>
          <w:sz w:val="28"/>
        </w:rPr>
        <w:t xml:space="preserve">Referencias Bibliográficas</w:t>
      </w:r>
    </w:p>
    <w:bookmarkStart w:id="74" w:name="refs"/>
    <w:bookmarkStart w:id="49"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49"/>
    <w:bookmarkStart w:id="51"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50">
        <w:r>
          <w:rPr>
            <w:rStyle w:val="Hyperlink"/>
          </w:rPr>
          <w:t xml:space="preserve">https://web.curza.uncoma.edu.ar/educacion-distancia/nodos-curza-unco-region-sur</w:t>
        </w:r>
      </w:hyperlink>
    </w:p>
    <w:bookmarkEnd w:id="51"/>
    <w:bookmarkStart w:id="52"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52"/>
    <w:bookmarkStart w:id="54"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53">
        <w:r>
          <w:rPr>
            <w:rStyle w:val="Hyperlink"/>
          </w:rPr>
          <w:t xml:space="preserve">https://doi.org/10.2307/3541464</w:t>
        </w:r>
      </w:hyperlink>
    </w:p>
    <w:bookmarkEnd w:id="54"/>
    <w:bookmarkStart w:id="55" w:name="ref-pen2015"/>
    <w:p>
      <w:pPr>
        <w:pStyle w:val="Bibliography"/>
        <w:spacing w:after="120"/>
        <w:ind w:left="720" w:hanging="720"/>
        <w:jc w:val="left"/>
      </w:pPr>
      <w:r>
        <w:t xml:space="preserve">Decreto N° 1246/2015. Convenio Colectivo de Trabajo para los Docentes de las Instituciones Universitarias Nacionales (2015).</w:t>
      </w:r>
    </w:p>
    <w:bookmarkEnd w:id="55"/>
    <w:bookmarkStart w:id="56"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56"/>
    <w:bookmarkStart w:id="57"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57"/>
    <w:bookmarkStart w:id="58" w:name="ref-ministerio1995"/>
    <w:p>
      <w:pPr>
        <w:pStyle w:val="Bibliography"/>
        <w:spacing w:after="120"/>
        <w:ind w:left="720" w:hanging="720"/>
        <w:jc w:val="left"/>
      </w:pPr>
      <w:r>
        <w:t xml:space="preserve">Ley N° 24.521 de Educación Superior (1995).</w:t>
      </w:r>
    </w:p>
    <w:bookmarkEnd w:id="58"/>
    <w:bookmarkStart w:id="59"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59"/>
    <w:bookmarkStart w:id="60"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60"/>
    <w:bookmarkStart w:id="62"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61">
        <w:r>
          <w:rPr>
            <w:rStyle w:val="Hyperlink"/>
          </w:rPr>
          <w:t xml:space="preserve">https://medisur.sld.cu/index.php/medisur/article/view/2749</w:t>
        </w:r>
      </w:hyperlink>
    </w:p>
    <w:bookmarkEnd w:id="62"/>
    <w:bookmarkStart w:id="63"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63"/>
    <w:bookmarkStart w:id="6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64"/>
    <w:bookmarkStart w:id="6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65">
        <w:r>
          <w:rPr>
            <w:rStyle w:val="Hyperlink"/>
          </w:rPr>
          <w:t xml:space="preserve">https://dialnet.unirioja.es/descarga/articulo/7242790.pdf</w:t>
        </w:r>
      </w:hyperlink>
    </w:p>
    <w:bookmarkEnd w:id="66"/>
    <w:bookmarkStart w:id="6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67">
        <w:r>
          <w:rPr>
            <w:rStyle w:val="Hyperlink"/>
          </w:rPr>
          <w:t xml:space="preserve">https://doi.org/10.1177/1534484316671606</w:t>
        </w:r>
      </w:hyperlink>
    </w:p>
    <w:bookmarkEnd w:id="68"/>
    <w:bookmarkStart w:id="7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w:t>
      </w:r>
      <w:r>
        <w:t xml:space="preserve"> </w:t>
      </w:r>
      <w:hyperlink r:id="rId69">
        <w:r>
          <w:rPr>
            <w:rStyle w:val="Hyperlink"/>
          </w:rPr>
          <w:t xml:space="preserve">https://fatu-uncoma.com.ar/fatu/wp-content/uploads/2024/03/0910-1997-Reglamento-de-carrera-docente.pdf</w:t>
        </w:r>
      </w:hyperlink>
    </w:p>
    <w:bookmarkEnd w:id="70"/>
    <w:bookmarkStart w:id="7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w:t>
      </w:r>
      <w:r>
        <w:t xml:space="preserve"> </w:t>
      </w:r>
      <w:hyperlink r:id="rId71">
        <w:r>
          <w:rPr>
            <w:rStyle w:val="Hyperlink"/>
          </w:rPr>
          <w:t xml:space="preserve">https://academica.uncoma.edu.ar/wp-content/uploads/2025/08/ord_988_2025_55.pdf</w:t>
        </w:r>
      </w:hyperlink>
    </w:p>
    <w:bookmarkEnd w:id="72"/>
    <w:bookmarkStart w:id="7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73"/>
    <w:bookmarkEnd w:id="74"/>
    <w:bookmarkEnd w:id="75"/>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71" Type="http://schemas.openxmlformats.org/officeDocument/2006/relationships/hyperlink" Target="https://academica.uncoma.edu.ar/wp-content/uploads/2025/08/ord_988_2025_55.pdf" TargetMode="External"/><Relationship Id="rId65" Type="http://schemas.openxmlformats.org/officeDocument/2006/relationships/hyperlink" Target="https://dialnet.unirioja.es/descarga/articulo/7242790.pdf" TargetMode="External"/><Relationship Id="rId67" Type="http://schemas.openxmlformats.org/officeDocument/2006/relationships/hyperlink" Target="https://doi.org/10.1177/1534484316671606" TargetMode="External"/><Relationship Id="rId53" Type="http://schemas.openxmlformats.org/officeDocument/2006/relationships/hyperlink" Target="https://doi.org/10.2307/3541464" TargetMode="External"/><Relationship Id="rId69" Type="http://schemas.openxmlformats.org/officeDocument/2006/relationships/hyperlink" Target="https://fatu-uncoma.com.ar/fatu/wp-content/uploads/2024/03/0910-1997-Reglamento-de-carrera-docente.pdf" TargetMode="External"/><Relationship Id="rId61" Type="http://schemas.openxmlformats.org/officeDocument/2006/relationships/hyperlink" Target="https://medisur.sld.cu/index.php/medisur/article/view/2749" TargetMode="External"/><Relationship Id="rId50"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71" Type="http://schemas.openxmlformats.org/officeDocument/2006/relationships/hyperlink" Target="https://academica.uncoma.edu.ar/wp-content/uploads/2025/08/ord_988_2025_55.pdf" TargetMode="External"/><Relationship Id="rId65" Type="http://schemas.openxmlformats.org/officeDocument/2006/relationships/hyperlink" Target="https://dialnet.unirioja.es/descarga/articulo/7242790.pdf" TargetMode="External"/><Relationship Id="rId67" Type="http://schemas.openxmlformats.org/officeDocument/2006/relationships/hyperlink" Target="https://doi.org/10.1177/1534484316671606" TargetMode="External"/><Relationship Id="rId53" Type="http://schemas.openxmlformats.org/officeDocument/2006/relationships/hyperlink" Target="https://doi.org/10.2307/3541464" TargetMode="External"/><Relationship Id="rId69" Type="http://schemas.openxmlformats.org/officeDocument/2006/relationships/hyperlink" Target="https://fatu-uncoma.com.ar/fatu/wp-content/uploads/2024/03/0910-1997-Reglamento-de-carrera-docente.pdf" TargetMode="External"/><Relationship Id="rId61" Type="http://schemas.openxmlformats.org/officeDocument/2006/relationships/hyperlink" Target="https://medisur.sld.cu/index.php/medisur/article/view/2749" TargetMode="External"/><Relationship Id="rId50"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2026-09-30T21:51:08Z</dcterms:created>
  <dcterms:modified xsi:type="dcterms:W3CDTF">2026-09-30T21:51:08Z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