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13.svg" ContentType="image/svg+xml"/>
  <Override PartName="/word/media/rId1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drawing>
          <wp:inline>
            <wp:extent cx="1095375" cy="1117209"/>
            <wp:effectExtent b="0" l="0" r="0" t="0"/>
            <wp:docPr descr="" title="" id="10" name="Picture"/>
            <a:graphic>
              <a:graphicData uri="http://schemas.openxmlformats.org/drawingml/2006/picture">
                <pic:pic>
                  <pic:nvPicPr>
                    <pic:cNvPr descr="assets/img/CURZAS.png" id="11" name="Picture"/>
                    <pic:cNvPicPr>
                      <a:picLocks noChangeArrowheads="1" noChangeAspect="1"/>
                    </pic:cNvPicPr>
                  </pic:nvPicPr>
                  <pic:blipFill>
                    <a:blip r:embed="rId9"/>
                    <a:stretch>
                      <a:fillRect/>
                    </a:stretch>
                  </pic:blipFill>
                  <pic:spPr bwMode="auto">
                    <a:xfrm>
                      <a:off x="0" y="0"/>
                      <a:ext cx="1095375" cy="1117209"/>
                    </a:xfrm>
                    <a:prstGeom prst="rect">
                      <a:avLst/>
                    </a:prstGeom>
                    <a:noFill/>
                    <a:ln w="9525">
                      <a:noFill/>
                      <a:headEnd/>
                      <a:tailEnd/>
                    </a:ln>
                  </pic:spPr>
                </pic:pic>
              </a:graphicData>
            </a:graphic>
          </wp:inline>
        </w:drawing>
      </w:r>
    </w:p>
    <w:p>
      <w:pPr>
        <w:pStyle w:val="BodyText"/>
      </w:pPr>
      <w:r>
        <w:br/>
      </w:r>
    </w:p>
    <w:p>
      <w:pPr>
        <w:pStyle w:val="BodyText"/>
      </w:pPr>
      <w:r>
        <w:rPr>
          <w:b/>
          <w:bCs/>
        </w:rPr>
        <w:t xml:space="preserve">Universidad Nacional del Comahue</w:t>
      </w:r>
      <w:r>
        <w:br/>
      </w:r>
      <w:r>
        <w:rPr>
          <w:b/>
          <w:bCs/>
        </w:rPr>
        <w:t xml:space="preserve">Complejo Universitario Regional Zona Atlántica y Sur</w:t>
      </w:r>
      <w:r>
        <w:br/>
      </w:r>
      <w:r>
        <w:rPr>
          <w:b/>
          <w:bCs/>
        </w:rPr>
        <w:t xml:space="preserve">Departamento de Administración Pública</w:t>
      </w:r>
    </w:p>
    <w:p>
      <w:pPr>
        <w:pStyle w:val="BodyText"/>
      </w:pPr>
      <w:r>
        <w:br/>
      </w:r>
      <w:r>
        <w:t xml:space="preserve"> </w:t>
      </w:r>
      <w:r>
        <w:br/>
      </w:r>
      <w:r>
        <w:t xml:space="preserve"> </w:t>
      </w:r>
      <w:r>
        <w:br/>
      </w:r>
    </w:p>
    <w:p>
      <w:pPr>
        <w:pStyle w:val="BodyText"/>
      </w:pPr>
      <w:r>
        <w:rPr>
          <w:b/>
          <w:bCs/>
        </w:rPr>
        <w:t xml:space="preserve">Ciclo de Complementación Curricular de la Licenciatura en Gestión de Recursos Humanos</w:t>
      </w:r>
    </w:p>
    <w:p>
      <w:pPr>
        <w:pStyle w:val="BodyText"/>
      </w:pPr>
      <w:r>
        <w:br/>
      </w:r>
      <w:r>
        <w:t xml:space="preserve"> </w:t>
      </w:r>
      <w:r>
        <w:br/>
      </w:r>
      <w:r>
        <w:t xml:space="preserve"> </w:t>
      </w:r>
      <w:r>
        <w:br/>
      </w:r>
    </w:p>
    <w:p>
      <w:pPr>
        <w:pStyle w:val="BodyText"/>
      </w:pPr>
      <w:r>
        <w:t xml:space="preserve">Materia: Seminario de Integración y Aplicación</w:t>
      </w:r>
      <w:r>
        <w:br/>
      </w:r>
      <w:r>
        <w:t xml:space="preserve">Profesores: Dra. Deborah Noguera</w:t>
      </w:r>
      <w:r>
        <w:br/>
      </w:r>
      <w:r>
        <w:t xml:space="preserve">                   Esp. Federico Abeiro</w:t>
      </w:r>
      <w:r>
        <w:br/>
      </w:r>
      <w:r>
        <w:t xml:space="preserve">                   Esp. María Cecilia Aguirre</w:t>
      </w:r>
    </w:p>
    <w:p>
      <w:pPr>
        <w:pStyle w:val="BodyText"/>
      </w:pPr>
      <w:r>
        <w:t xml:space="preserve">Estudiante: Tec. Sup. en RRHH Héctor Daniel Ayarachi Fuentes</w:t>
      </w:r>
      <w:r>
        <w:br/>
      </w:r>
      <w:r>
        <w:t xml:space="preserve">DNI y LEGAJO: DNI N° 35.492.138 — Legajo N° 8252</w:t>
      </w:r>
      <w:r>
        <w:br/>
      </w:r>
      <w:r>
        <w:t xml:space="preserve">Email: hectordanielayarachifuentes@gmail.com</w:t>
      </w:r>
    </w:p>
    <w:p>
      <w:pPr>
        <w:pStyle w:val="BodyText"/>
      </w:pPr>
      <w:r>
        <w:t xml:space="preserve">Director/a: (A designar antes de finalizar el cursado del SIA)</w:t>
      </w:r>
      <w:r>
        <w:br/>
      </w:r>
      <w:r>
        <w:t xml:space="preserve">Codirector/a: (A designar antes de finalizar el cursado del SIA)</w:t>
      </w:r>
    </w:p>
    <w:p>
      <w:pPr>
        <w:pStyle w:val="BodyText"/>
      </w:pPr>
      <w:r>
        <w:br/>
      </w:r>
      <w:r>
        <w:t xml:space="preserve"> </w:t>
      </w:r>
      <w:r>
        <w:br/>
      </w:r>
      <w:r>
        <w:t xml:space="preserve"> </w:t>
      </w:r>
      <w:r>
        <w:br/>
      </w:r>
    </w:p>
    <w:p>
      <w:pPr>
        <w:pStyle w:val="BodyText"/>
      </w:pPr>
      <w:r>
        <w:t xml:space="preserve">Año 2026</w:t>
      </w:r>
    </w:p>
    <w:p>
      <w:r>
        <w:br w:type="page"/>
      </w:r>
    </w:p>
    <w:bookmarkStart w:id="12" w:name="índice-de-contenidos"/>
    <w:p>
      <w:pPr>
        <w:pStyle w:val="Heading1"/>
        <w:keepNext/>
        <w:spacing w:before="240" w:after="120" w:line="300" w:lineRule="auto"/>
      </w:pPr>
      <w:r>
        <w:rPr>
          <w:rFonts w:ascii="Arial" w:hAnsi="Arial"/>
          <w:b/>
          <w:sz w:val="28"/>
        </w:rPr>
        <w:t xml:space="preserve">Índice de Contenidos</w:t>
      </w:r>
    </w:p>
    <w:p>
      <w:pPr>
        <w:spacing w:after="120"/>
      </w:pPr>
      <w:r>
        <w:fldChar w:fldCharType="begin"/>
        <w:instrText xml:space="preserve"> TOC \o "1-3" \h \z \u </w:instrText>
        <w:fldChar w:fldCharType="separate"/>
      </w:r>
    </w:p>
    <w:p>
      <w:pPr>
        <w:pStyle w:val="TOC1"/>
        <w:tabs>
          <w:tab w:val="right" w:leader="dot" w:pos="9026"/>
        </w:tabs>
        <w:ind w:left="0"/>
        <w:spacing w:after="60"/>
      </w:pPr>
      <w:r>
        <w:rPr>
          <w:rFonts w:ascii="Arial" w:hAnsi="Arial"/>
          <w:sz w:val="22"/>
        </w:rPr>
        <w:t>Primera parte de la estructura del Proyecto de investigación de TFG</w:t>
      </w:r>
      <w:r>
        <w:tab/>
      </w:r>
      <w:r>
        <w:rPr>
          <w:rFonts w:ascii="Arial" w:hAnsi="Arial"/>
          <w:sz w:val="22"/>
        </w:rPr>
        <w:t>1</w:t>
      </w:r>
    </w:p>
    <w:p>
      <w:pPr>
        <w:pStyle w:val="TOC2"/>
        <w:tabs>
          <w:tab w:val="right" w:leader="dot" w:pos="9026"/>
        </w:tabs>
        <w:ind w:left="280"/>
        <w:spacing w:after="60"/>
      </w:pPr>
      <w:r>
        <w:rPr>
          <w:rFonts w:ascii="Arial" w:hAnsi="Arial"/>
          <w:sz w:val="22"/>
        </w:rPr>
        <w:t>Tema de Investigación</w:t>
      </w:r>
      <w:r>
        <w:tab/>
      </w:r>
      <w:r>
        <w:rPr>
          <w:rFonts w:ascii="Arial" w:hAnsi="Arial"/>
          <w:sz w:val="22"/>
        </w:rPr>
        <w:t>1</w:t>
      </w:r>
    </w:p>
    <w:p>
      <w:pPr>
        <w:pStyle w:val="TOC3"/>
        <w:tabs>
          <w:tab w:val="right" w:leader="dot" w:pos="9026"/>
        </w:tabs>
        <w:ind w:left="560"/>
        <w:spacing w:after="60"/>
      </w:pPr>
      <w:r>
        <w:rPr>
          <w:rFonts w:ascii="Arial" w:hAnsi="Arial"/>
          <w:sz w:val="22"/>
        </w:rPr>
        <w:t>Encuadre Conceptual en el Modelo de Francisco Longo</w:t>
      </w:r>
      <w:r>
        <w:tab/>
      </w:r>
      <w:r>
        <w:rPr>
          <w:rFonts w:ascii="Arial" w:hAnsi="Arial"/>
          <w:sz w:val="22"/>
        </w:rPr>
        <w:t>1</w:t>
      </w:r>
    </w:p>
    <w:p>
      <w:pPr>
        <w:pStyle w:val="TOC3"/>
        <w:tabs>
          <w:tab w:val="right" w:leader="dot" w:pos="9026"/>
        </w:tabs>
        <w:ind w:left="560"/>
        <w:spacing w:after="60"/>
      </w:pPr>
      <w:r>
        <w:rPr>
          <w:rFonts w:ascii="Arial" w:hAnsi="Arial"/>
          <w:sz w:val="22"/>
        </w:rPr>
        <w:t>Contexto Institucional y Normativo</w:t>
      </w:r>
      <w:r>
        <w:tab/>
      </w:r>
      <w:r>
        <w:rPr>
          <w:rFonts w:ascii="Arial" w:hAnsi="Arial"/>
          <w:sz w:val="22"/>
        </w:rPr>
        <w:t>2</w:t>
      </w:r>
    </w:p>
    <w:p>
      <w:pPr>
        <w:pStyle w:val="TOC2"/>
        <w:tabs>
          <w:tab w:val="right" w:leader="dot" w:pos="9026"/>
        </w:tabs>
        <w:ind w:left="280"/>
        <w:spacing w:after="60"/>
      </w:pPr>
      <w:r>
        <w:rPr>
          <w:rFonts w:ascii="Arial" w:hAnsi="Arial"/>
          <w:sz w:val="22"/>
        </w:rPr>
        <w:t>Delimitación del Objeto Problema</w:t>
      </w:r>
      <w:r>
        <w:tab/>
      </w:r>
      <w:r>
        <w:rPr>
          <w:rFonts w:ascii="Arial" w:hAnsi="Arial"/>
          <w:sz w:val="22"/>
        </w:rPr>
        <w:t>4</w:t>
      </w:r>
    </w:p>
    <w:p>
      <w:pPr>
        <w:pStyle w:val="TOC3"/>
        <w:tabs>
          <w:tab w:val="right" w:leader="dot" w:pos="9026"/>
        </w:tabs>
        <w:ind w:left="560"/>
        <w:spacing w:after="60"/>
      </w:pPr>
      <w:r>
        <w:rPr>
          <w:rFonts w:ascii="Arial" w:hAnsi="Arial"/>
          <w:sz w:val="22"/>
        </w:rPr>
        <w:t>Problematización y Justificación del Caso</w:t>
      </w:r>
      <w:r>
        <w:tab/>
      </w:r>
      <w:r>
        <w:rPr>
          <w:rFonts w:ascii="Arial" w:hAnsi="Arial"/>
          <w:sz w:val="22"/>
        </w:rPr>
        <w:t>4</w:t>
      </w:r>
    </w:p>
    <w:p>
      <w:pPr>
        <w:pStyle w:val="TOC3"/>
        <w:tabs>
          <w:tab w:val="right" w:leader="dot" w:pos="9026"/>
        </w:tabs>
        <w:ind w:left="560"/>
        <w:spacing w:after="60"/>
      </w:pPr>
      <w:r>
        <w:rPr>
          <w:rFonts w:ascii="Arial" w:hAnsi="Arial"/>
          <w:sz w:val="22"/>
        </w:rPr>
        <w:t>Delimitaciones Metodológicas</w:t>
      </w:r>
      <w:r>
        <w:tab/>
      </w:r>
      <w:r>
        <w:rPr>
          <w:rFonts w:ascii="Arial" w:hAnsi="Arial"/>
          <w:sz w:val="22"/>
        </w:rPr>
        <w:t>5</w:t>
      </w:r>
    </w:p>
    <w:p>
      <w:pPr>
        <w:pStyle w:val="TOC3"/>
        <w:tabs>
          <w:tab w:val="right" w:leader="dot" w:pos="9026"/>
        </w:tabs>
        <w:ind w:left="560"/>
        <w:spacing w:after="60"/>
      </w:pPr>
      <w:r>
        <w:rPr>
          <w:rFonts w:ascii="Arial" w:hAnsi="Arial"/>
          <w:sz w:val="22"/>
        </w:rPr>
        <w:t>Enfoque Analítico de las Dimensiones de Factibilidad</w:t>
      </w:r>
      <w:r>
        <w:tab/>
      </w:r>
      <w:r>
        <w:rPr>
          <w:rFonts w:ascii="Arial" w:hAnsi="Arial"/>
          <w:sz w:val="22"/>
        </w:rPr>
        <w:t>5</w:t>
      </w:r>
    </w:p>
    <w:p>
      <w:pPr>
        <w:pStyle w:val="TOC3"/>
        <w:tabs>
          <w:tab w:val="right" w:leader="dot" w:pos="9026"/>
        </w:tabs>
        <w:ind w:left="560"/>
        <w:spacing w:after="60"/>
      </w:pPr>
      <w:r>
        <w:rPr>
          <w:rFonts w:ascii="Arial" w:hAnsi="Arial"/>
          <w:sz w:val="22"/>
        </w:rPr>
        <w:t>Pregunta General de Investigación</w:t>
      </w:r>
      <w:r>
        <w:tab/>
      </w:r>
      <w:r>
        <w:rPr>
          <w:rFonts w:ascii="Arial" w:hAnsi="Arial"/>
          <w:sz w:val="22"/>
        </w:rPr>
        <w:t>6</w:t>
      </w:r>
    </w:p>
    <w:p>
      <w:pPr>
        <w:pStyle w:val="TOC2"/>
        <w:tabs>
          <w:tab w:val="right" w:leader="dot" w:pos="9026"/>
        </w:tabs>
        <w:ind w:left="280"/>
        <w:spacing w:after="60"/>
      </w:pPr>
      <w:r>
        <w:rPr>
          <w:rFonts w:ascii="Arial" w:hAnsi="Arial"/>
          <w:sz w:val="22"/>
        </w:rPr>
        <w:t>Justificación y Relevancia de la Investigación</w:t>
      </w:r>
      <w:r>
        <w:tab/>
      </w:r>
      <w:r>
        <w:rPr>
          <w:rFonts w:ascii="Arial" w:hAnsi="Arial"/>
          <w:sz w:val="22"/>
        </w:rPr>
        <w:t>6</w:t>
      </w:r>
    </w:p>
    <w:p>
      <w:pPr>
        <w:pStyle w:val="TOC2"/>
        <w:tabs>
          <w:tab w:val="right" w:leader="dot" w:pos="9026"/>
        </w:tabs>
        <w:ind w:left="280"/>
        <w:spacing w:after="60"/>
      </w:pPr>
      <w:r>
        <w:rPr>
          <w:rFonts w:ascii="Arial" w:hAnsi="Arial"/>
          <w:sz w:val="22"/>
        </w:rPr>
        <w:t>Definición de Objetivos del TFG</w:t>
      </w:r>
      <w:r>
        <w:tab/>
      </w:r>
      <w:r>
        <w:rPr>
          <w:rFonts w:ascii="Arial" w:hAnsi="Arial"/>
          <w:sz w:val="22"/>
        </w:rPr>
        <w:t>7</w:t>
      </w:r>
    </w:p>
    <w:p>
      <w:pPr>
        <w:pStyle w:val="TOC3"/>
        <w:tabs>
          <w:tab w:val="right" w:leader="dot" w:pos="9026"/>
        </w:tabs>
        <w:ind w:left="560"/>
        <w:spacing w:after="60"/>
      </w:pPr>
      <w:r>
        <w:rPr>
          <w:rFonts w:ascii="Arial" w:hAnsi="Arial"/>
          <w:sz w:val="22"/>
        </w:rPr>
        <w:t>Objetivo General</w:t>
      </w:r>
      <w:r>
        <w:tab/>
      </w:r>
      <w:r>
        <w:rPr>
          <w:rFonts w:ascii="Arial" w:hAnsi="Arial"/>
          <w:sz w:val="22"/>
        </w:rPr>
        <w:t>7</w:t>
      </w:r>
    </w:p>
    <w:p>
      <w:pPr>
        <w:pStyle w:val="TOC3"/>
        <w:tabs>
          <w:tab w:val="right" w:leader="dot" w:pos="9026"/>
        </w:tabs>
        <w:ind w:left="560"/>
        <w:spacing w:after="60"/>
      </w:pPr>
      <w:r>
        <w:rPr>
          <w:rFonts w:ascii="Arial" w:hAnsi="Arial"/>
          <w:sz w:val="22"/>
        </w:rPr>
        <w:t>Objetivos Específicos</w:t>
      </w:r>
      <w:r>
        <w:tab/>
      </w:r>
      <w:r>
        <w:rPr>
          <w:rFonts w:ascii="Arial" w:hAnsi="Arial"/>
          <w:sz w:val="22"/>
        </w:rPr>
        <w:t>7</w:t>
      </w:r>
    </w:p>
    <w:p>
      <w:pPr>
        <w:pStyle w:val="TOC3"/>
        <w:tabs>
          <w:tab w:val="right" w:leader="dot" w:pos="9026"/>
        </w:tabs>
        <w:ind w:left="560"/>
        <w:spacing w:after="60"/>
      </w:pPr>
      <w:r>
        <w:rPr>
          <w:rFonts w:ascii="Arial" w:hAnsi="Arial"/>
          <w:sz w:val="22"/>
        </w:rPr>
        <w:t>Matriz de Consistencia Metodológica y Articulación con Longo (2006)</w:t>
      </w:r>
      <w:r>
        <w:tab/>
      </w:r>
      <w:r>
        <w:rPr>
          <w:rFonts w:ascii="Arial" w:hAnsi="Arial"/>
          <w:sz w:val="22"/>
        </w:rPr>
        <w:t>8</w:t>
      </w:r>
    </w:p>
    <w:p>
      <w:pPr>
        <w:pStyle w:val="TOC1"/>
        <w:tabs>
          <w:tab w:val="right" w:leader="dot" w:pos="9026"/>
        </w:tabs>
        <w:ind w:left="0"/>
        <w:spacing w:after="60"/>
      </w:pPr>
      <w:r>
        <w:rPr>
          <w:rFonts w:ascii="Arial" w:hAnsi="Arial"/>
          <w:sz w:val="22"/>
        </w:rPr>
        <w:t>Segunda parte de la estructura del Proyecto de investigación de TFG</w:t>
      </w:r>
      <w:r>
        <w:tab/>
      </w:r>
      <w:r>
        <w:rPr>
          <w:rFonts w:ascii="Arial" w:hAnsi="Arial"/>
          <w:sz w:val="22"/>
        </w:rPr>
        <w:t>9</w:t>
      </w:r>
    </w:p>
    <w:p>
      <w:pPr>
        <w:pStyle w:val="TOC2"/>
        <w:tabs>
          <w:tab w:val="right" w:leader="dot" w:pos="9026"/>
        </w:tabs>
        <w:ind w:left="280"/>
        <w:spacing w:after="60"/>
      </w:pPr>
      <w:r>
        <w:rPr>
          <w:rFonts w:ascii="Arial" w:hAnsi="Arial"/>
          <w:sz w:val="22"/>
        </w:rPr>
        <w:t>Marco Teórico: Posicionamiento Teórico y Conceptos Centrales</w:t>
      </w:r>
      <w:r>
        <w:tab/>
      </w:r>
      <w:r>
        <w:rPr>
          <w:rFonts w:ascii="Arial" w:hAnsi="Arial"/>
          <w:sz w:val="22"/>
        </w:rPr>
        <w:t>9</w:t>
      </w:r>
    </w:p>
    <w:p>
      <w:pPr>
        <w:pStyle w:val="TOC3"/>
        <w:tabs>
          <w:tab w:val="right" w:leader="dot" w:pos="9026"/>
        </w:tabs>
        <w:ind w:left="560"/>
        <w:spacing w:after="60"/>
      </w:pPr>
      <w:r>
        <w:rPr>
          <w:rFonts w:ascii="Arial" w:hAnsi="Arial"/>
          <w:sz w:val="22"/>
        </w:rPr>
        <w:t>Posicionamiento Epistemológico: La Teoría como Configuración Abierta</w:t>
      </w:r>
      <w:r>
        <w:tab/>
      </w:r>
      <w:r>
        <w:rPr>
          <w:rFonts w:ascii="Arial" w:hAnsi="Arial"/>
          <w:sz w:val="22"/>
        </w:rPr>
        <w:t>9</w:t>
      </w:r>
    </w:p>
    <w:p>
      <w:pPr>
        <w:pStyle w:val="TOC3"/>
        <w:tabs>
          <w:tab w:val="right" w:leader="dot" w:pos="9026"/>
        </w:tabs>
        <w:ind w:left="560"/>
        <w:spacing w:after="60"/>
      </w:pPr>
      <w:r>
        <w:rPr>
          <w:rFonts w:ascii="Arial" w:hAnsi="Arial"/>
          <w:sz w:val="22"/>
        </w:rPr>
        <w:t>El Enfoque Sistémico de Gestión de Personas en el Sector Público: Modelo de Francisco Longo</w:t>
      </w:r>
      <w:r>
        <w:tab/>
      </w:r>
      <w:r>
        <w:rPr>
          <w:rFonts w:ascii="Arial" w:hAnsi="Arial"/>
          <w:sz w:val="22"/>
        </w:rPr>
        <w:t>9</w:t>
      </w:r>
    </w:p>
    <w:p>
      <w:pPr>
        <w:pStyle w:val="TOC3"/>
        <w:tabs>
          <w:tab w:val="right" w:leader="dot" w:pos="9026"/>
        </w:tabs>
        <w:ind w:left="560"/>
        <w:spacing w:after="60"/>
      </w:pPr>
      <w:r>
        <w:rPr>
          <w:rFonts w:ascii="Arial" w:hAnsi="Arial"/>
          <w:sz w:val="22"/>
        </w:rPr>
        <w:t>El Modelo de Retroalimentación 360° en la Educación Superior</w:t>
      </w:r>
      <w:r>
        <w:tab/>
      </w:r>
      <w:r>
        <w:rPr>
          <w:rFonts w:ascii="Arial" w:hAnsi="Arial"/>
          <w:sz w:val="22"/>
        </w:rPr>
        <w:t>10</w:t>
      </w:r>
    </w:p>
    <w:p>
      <w:pPr>
        <w:pStyle w:val="TOC3"/>
        <w:tabs>
          <w:tab w:val="right" w:leader="dot" w:pos="9026"/>
        </w:tabs>
        <w:ind w:left="560"/>
        <w:spacing w:after="60"/>
      </w:pPr>
      <w:r>
        <w:rPr>
          <w:rFonts w:ascii="Arial" w:hAnsi="Arial"/>
          <w:sz w:val="22"/>
        </w:rPr>
        <w:t>Gobernanza Universitaria Multinivel, Cogobierno y Negociación Paritaria</w:t>
      </w:r>
      <w:r>
        <w:tab/>
      </w:r>
      <w:r>
        <w:rPr>
          <w:rFonts w:ascii="Arial" w:hAnsi="Arial"/>
          <w:sz w:val="22"/>
        </w:rPr>
        <w:t>11</w:t>
      </w:r>
    </w:p>
    <w:p>
      <w:pPr>
        <w:pStyle w:val="TOC3"/>
        <w:tabs>
          <w:tab w:val="right" w:leader="dot" w:pos="9026"/>
        </w:tabs>
        <w:ind w:left="840"/>
        <w:spacing w:after="60"/>
      </w:pPr>
      <w:r>
        <w:rPr>
          <w:rFonts w:ascii="Arial" w:hAnsi="Arial"/>
          <w:sz w:val="22"/>
        </w:rPr>
        <w:t>La Perspectiva de la Poligobernanza: El Aporte de Cao y Blutman</w:t>
      </w:r>
      <w:r>
        <w:tab/>
      </w:r>
      <w:r>
        <w:rPr>
          <w:rFonts w:ascii="Arial" w:hAnsi="Arial"/>
          <w:sz w:val="22"/>
        </w:rPr>
        <w:t>11</w:t>
      </w:r>
    </w:p>
    <w:p>
      <w:pPr>
        <w:pStyle w:val="TOC3"/>
        <w:tabs>
          <w:tab w:val="right" w:leader="dot" w:pos="9026"/>
        </w:tabs>
        <w:ind w:left="840"/>
        <w:spacing w:after="60"/>
      </w:pPr>
      <w:r>
        <w:rPr>
          <w:rFonts w:ascii="Arial" w:hAnsi="Arial"/>
          <w:sz w:val="22"/>
        </w:rPr>
        <w:t>La Poligobernanza Universitaria en Cuatro Planos Decisionales</w:t>
      </w:r>
      <w:r>
        <w:tab/>
      </w:r>
      <w:r>
        <w:rPr>
          <w:rFonts w:ascii="Arial" w:hAnsi="Arial"/>
          <w:sz w:val="22"/>
        </w:rPr>
        <w:t>12</w:t>
      </w:r>
    </w:p>
    <w:p>
      <w:pPr>
        <w:pStyle w:val="TOC3"/>
        <w:tabs>
          <w:tab w:val="right" w:leader="dot" w:pos="9026"/>
        </w:tabs>
        <w:ind w:left="840"/>
        <w:spacing w:after="60"/>
      </w:pPr>
      <w:r>
        <w:rPr>
          <w:rFonts w:ascii="Arial" w:hAnsi="Arial"/>
          <w:sz w:val="22"/>
        </w:rPr>
        <w:t>Poder Compartido y Capacidades Estatales: Matus y Oszlak</w:t>
      </w:r>
      <w:r>
        <w:tab/>
      </w:r>
      <w:r>
        <w:rPr>
          <w:rFonts w:ascii="Arial" w:hAnsi="Arial"/>
          <w:sz w:val="22"/>
        </w:rPr>
        <w:t>12</w:t>
      </w:r>
    </w:p>
    <w:p>
      <w:pPr>
        <w:pStyle w:val="TOC3"/>
        <w:tabs>
          <w:tab w:val="right" w:leader="dot" w:pos="9026"/>
        </w:tabs>
        <w:ind w:left="560"/>
        <w:spacing w:after="60"/>
      </w:pPr>
      <w:r>
        <w:rPr>
          <w:rFonts w:ascii="Arial" w:hAnsi="Arial"/>
          <w:sz w:val="22"/>
        </w:rPr>
        <w:t>Precisión Categorial: "Claustro" frente a "Actores Situados"</w:t>
      </w:r>
      <w:r>
        <w:tab/>
      </w:r>
      <w:r>
        <w:rPr>
          <w:rFonts w:ascii="Arial" w:hAnsi="Arial"/>
          <w:sz w:val="22"/>
        </w:rPr>
        <w:t>12</w:t>
      </w:r>
    </w:p>
    <w:p>
      <w:pPr>
        <w:pStyle w:val="TOC3"/>
        <w:tabs>
          <w:tab w:val="right" w:leader="dot" w:pos="9026"/>
        </w:tabs>
        <w:ind w:left="560"/>
        <w:spacing w:after="60"/>
      </w:pPr>
      <w:r>
        <w:rPr>
          <w:rFonts w:ascii="Arial" w:hAnsi="Arial"/>
          <w:sz w:val="22"/>
        </w:rPr>
        <w:t>Las Condiciones de Viabilidad como Hipótesis de Indagación Abierta</w:t>
      </w:r>
      <w:r>
        <w:tab/>
      </w:r>
      <w:r>
        <w:rPr>
          <w:rFonts w:ascii="Arial" w:hAnsi="Arial"/>
          <w:sz w:val="22"/>
        </w:rPr>
        <w:t>13</w:t>
      </w:r>
    </w:p>
    <w:p>
      <w:pPr>
        <w:pStyle w:val="TOC2"/>
        <w:tabs>
          <w:tab w:val="right" w:leader="dot" w:pos="9026"/>
        </w:tabs>
        <w:ind w:left="280"/>
        <w:spacing w:after="60"/>
      </w:pPr>
      <w:r>
        <w:rPr>
          <w:rFonts w:ascii="Arial" w:hAnsi="Arial"/>
          <w:sz w:val="22"/>
        </w:rPr>
        <w:t>Antecedentes: Estado del Arte de la Cuestión</w:t>
      </w:r>
      <w:r>
        <w:tab/>
      </w:r>
      <w:r>
        <w:rPr>
          <w:rFonts w:ascii="Arial" w:hAnsi="Arial"/>
          <w:sz w:val="22"/>
        </w:rPr>
        <w:t>13</w:t>
      </w:r>
    </w:p>
    <w:p>
      <w:pPr>
        <w:pStyle w:val="TOC3"/>
        <w:tabs>
          <w:tab w:val="right" w:leader="dot" w:pos="9026"/>
        </w:tabs>
        <w:ind w:left="560"/>
        <w:spacing w:after="60"/>
      </w:pPr>
      <w:r>
        <w:rPr>
          <w:rFonts w:ascii="Arial" w:hAnsi="Arial"/>
          <w:sz w:val="22"/>
        </w:rPr>
        <w:t>Antecedentes Internacionales</w:t>
      </w:r>
      <w:r>
        <w:tab/>
      </w:r>
      <w:r>
        <w:rPr>
          <w:rFonts w:ascii="Arial" w:hAnsi="Arial"/>
          <w:sz w:val="22"/>
        </w:rPr>
        <w:t>13</w:t>
      </w:r>
    </w:p>
    <w:p>
      <w:pPr>
        <w:pStyle w:val="TOC3"/>
        <w:tabs>
          <w:tab w:val="right" w:leader="dot" w:pos="9026"/>
        </w:tabs>
        <w:ind w:left="560"/>
        <w:spacing w:after="60"/>
      </w:pPr>
      <w:r>
        <w:rPr>
          <w:rFonts w:ascii="Arial" w:hAnsi="Arial"/>
          <w:sz w:val="22"/>
        </w:rPr>
        <w:t>Antecedentes Nacionales</w:t>
      </w:r>
      <w:r>
        <w:tab/>
      </w:r>
      <w:r>
        <w:rPr>
          <w:rFonts w:ascii="Arial" w:hAnsi="Arial"/>
          <w:sz w:val="22"/>
        </w:rPr>
        <w:t>14</w:t>
      </w:r>
    </w:p>
    <w:p>
      <w:pPr>
        <w:pStyle w:val="TOC3"/>
        <w:tabs>
          <w:tab w:val="right" w:leader="dot" w:pos="9026"/>
        </w:tabs>
        <w:ind w:left="560"/>
        <w:spacing w:after="60"/>
      </w:pPr>
      <w:r>
        <w:rPr>
          <w:rFonts w:ascii="Arial" w:hAnsi="Arial"/>
          <w:sz w:val="22"/>
        </w:rPr>
        <w:t>Antecedentes Regionales e Institucionales (UNCo y CURZAS)</w:t>
      </w:r>
      <w:r>
        <w:tab/>
      </w:r>
      <w:r>
        <w:rPr>
          <w:rFonts w:ascii="Arial" w:hAnsi="Arial"/>
          <w:sz w:val="22"/>
        </w:rPr>
        <w:t>14</w:t>
      </w:r>
    </w:p>
    <w:p>
      <w:pPr>
        <w:pStyle w:val="TOC3"/>
        <w:tabs>
          <w:tab w:val="right" w:leader="dot" w:pos="9026"/>
        </w:tabs>
        <w:ind w:left="560"/>
        <w:spacing w:after="60"/>
      </w:pPr>
      <w:r>
        <w:rPr>
          <w:rFonts w:ascii="Arial" w:hAnsi="Arial"/>
          <w:sz w:val="22"/>
        </w:rPr>
        <w:t>Síntesis Integradora y Vacancia de la Investigación</w:t>
      </w:r>
      <w:r>
        <w:tab/>
      </w:r>
      <w:r>
        <w:rPr>
          <w:rFonts w:ascii="Arial" w:hAnsi="Arial"/>
          <w:sz w:val="22"/>
        </w:rPr>
        <w:t>15</w:t>
      </w:r>
    </w:p>
    <w:p>
      <w:pPr>
        <w:pStyle w:val="TOC1"/>
        <w:tabs>
          <w:tab w:val="right" w:leader="dot" w:pos="9026"/>
        </w:tabs>
        <w:ind w:left="0"/>
        <w:spacing w:after="60"/>
      </w:pPr>
      <w:r>
        <w:rPr>
          <w:rFonts w:ascii="Arial" w:hAnsi="Arial"/>
          <w:sz w:val="22"/>
        </w:rPr>
        <w:t>Tercera parte de la estructura del Proyecto de investigación de TFG</w:t>
      </w:r>
      <w:r>
        <w:tab/>
      </w:r>
      <w:r>
        <w:rPr>
          <w:rFonts w:ascii="Arial" w:hAnsi="Arial"/>
          <w:sz w:val="22"/>
        </w:rPr>
        <w:t>16</w:t>
      </w:r>
    </w:p>
    <w:p>
      <w:pPr>
        <w:pStyle w:val="TOC2"/>
        <w:tabs>
          <w:tab w:val="right" w:leader="dot" w:pos="9026"/>
        </w:tabs>
        <w:ind w:left="280"/>
        <w:spacing w:after="60"/>
      </w:pPr>
      <w:r>
        <w:rPr>
          <w:rFonts w:ascii="Arial" w:hAnsi="Arial"/>
          <w:sz w:val="22"/>
        </w:rPr>
        <w:t>Metodología / Materiales, Técnicas y Métodos</w:t>
      </w:r>
      <w:r>
        <w:tab/>
      </w:r>
      <w:r>
        <w:rPr>
          <w:rFonts w:ascii="Arial" w:hAnsi="Arial"/>
          <w:sz w:val="22"/>
        </w:rPr>
        <w:t>16</w:t>
      </w:r>
    </w:p>
    <w:p>
      <w:pPr>
        <w:pStyle w:val="TOC3"/>
        <w:tabs>
          <w:tab w:val="right" w:leader="dot" w:pos="9026"/>
        </w:tabs>
        <w:ind w:left="560"/>
        <w:spacing w:after="60"/>
      </w:pPr>
      <w:r>
        <w:rPr>
          <w:rFonts w:ascii="Arial" w:hAnsi="Arial"/>
          <w:sz w:val="22"/>
        </w:rPr>
        <w:t>Enfoque y Diseño de la Investigación</w:t>
      </w:r>
      <w:r>
        <w:tab/>
      </w:r>
      <w:r>
        <w:rPr>
          <w:rFonts w:ascii="Arial" w:hAnsi="Arial"/>
          <w:sz w:val="22"/>
        </w:rPr>
        <w:t>16</w:t>
      </w:r>
    </w:p>
    <w:p>
      <w:pPr>
        <w:pStyle w:val="TOC3"/>
        <w:tabs>
          <w:tab w:val="right" w:leader="dot" w:pos="9026"/>
        </w:tabs>
        <w:ind w:left="560"/>
        <w:spacing w:after="60"/>
      </w:pPr>
      <w:r>
        <w:rPr>
          <w:rFonts w:ascii="Arial" w:hAnsi="Arial"/>
          <w:sz w:val="22"/>
        </w:rPr>
        <w:t>Población, Muestra y Unidades de Análisis</w:t>
      </w:r>
      <w:r>
        <w:tab/>
      </w:r>
      <w:r>
        <w:rPr>
          <w:rFonts w:ascii="Arial" w:hAnsi="Arial"/>
          <w:sz w:val="22"/>
        </w:rPr>
        <w:t>16</w:t>
      </w:r>
    </w:p>
    <w:p>
      <w:pPr>
        <w:pStyle w:val="TOC3"/>
        <w:tabs>
          <w:tab w:val="right" w:leader="dot" w:pos="9026"/>
        </w:tabs>
        <w:ind w:left="840"/>
        <w:spacing w:after="60"/>
      </w:pPr>
      <w:r>
        <w:rPr>
          <w:rFonts w:ascii="Arial" w:hAnsi="Arial"/>
          <w:sz w:val="22"/>
        </w:rPr>
        <w:t>Población o Universo de Estudio (N)</w:t>
      </w:r>
      <w:r>
        <w:tab/>
      </w:r>
      <w:r>
        <w:rPr>
          <w:rFonts w:ascii="Arial" w:hAnsi="Arial"/>
          <w:sz w:val="22"/>
        </w:rPr>
        <w:t>16</w:t>
      </w:r>
    </w:p>
    <w:p>
      <w:pPr>
        <w:pStyle w:val="TOC3"/>
        <w:tabs>
          <w:tab w:val="right" w:leader="dot" w:pos="9026"/>
        </w:tabs>
        <w:ind w:left="840"/>
        <w:spacing w:after="60"/>
      </w:pPr>
      <w:r>
        <w:rPr>
          <w:rFonts w:ascii="Arial" w:hAnsi="Arial"/>
          <w:sz w:val="22"/>
        </w:rPr>
        <w:t>Precisión Epistemológica: Unidad de Análisis frente a Unidades de Observación</w:t>
      </w:r>
      <w:r>
        <w:tab/>
      </w:r>
      <w:r>
        <w:rPr>
          <w:rFonts w:ascii="Arial" w:hAnsi="Arial"/>
          <w:sz w:val="22"/>
        </w:rPr>
        <w:t>17</w:t>
      </w:r>
    </w:p>
    <w:p>
      <w:pPr>
        <w:pStyle w:val="TOC3"/>
        <w:tabs>
          <w:tab w:val="right" w:leader="dot" w:pos="9026"/>
        </w:tabs>
        <w:ind w:left="840"/>
        <w:spacing w:after="60"/>
      </w:pPr>
      <w:r>
        <w:rPr>
          <w:rFonts w:ascii="Arial" w:hAnsi="Arial"/>
          <w:sz w:val="22"/>
        </w:rPr>
        <w:t>Muestra y Tipos de Muestreo (n)</w:t>
      </w:r>
      <w:r>
        <w:tab/>
      </w:r>
      <w:r>
        <w:rPr>
          <w:rFonts w:ascii="Arial" w:hAnsi="Arial"/>
          <w:sz w:val="22"/>
        </w:rPr>
        <w:t>18</w:t>
      </w:r>
    </w:p>
    <w:p>
      <w:pPr>
        <w:pStyle w:val="TOC3"/>
        <w:tabs>
          <w:tab w:val="right" w:leader="dot" w:pos="9026"/>
        </w:tabs>
        <w:ind w:left="840"/>
        <w:spacing w:after="60"/>
      </w:pPr>
      <w:r>
        <w:rPr>
          <w:rFonts w:ascii="Arial" w:hAnsi="Arial"/>
          <w:sz w:val="22"/>
        </w:rPr>
        <w:t>Criterios Taxativos de Inclusión y Exclusión</w:t>
      </w:r>
      <w:r>
        <w:tab/>
      </w:r>
      <w:r>
        <w:rPr>
          <w:rFonts w:ascii="Arial" w:hAnsi="Arial"/>
          <w:sz w:val="22"/>
        </w:rPr>
        <w:t>18</w:t>
      </w:r>
    </w:p>
    <w:p>
      <w:pPr>
        <w:pStyle w:val="TOC3"/>
        <w:tabs>
          <w:tab w:val="right" w:leader="dot" w:pos="9026"/>
        </w:tabs>
        <w:ind w:left="560"/>
        <w:spacing w:after="60"/>
      </w:pPr>
      <w:r>
        <w:rPr>
          <w:rFonts w:ascii="Arial" w:hAnsi="Arial"/>
          <w:sz w:val="22"/>
        </w:rPr>
        <w:t>Técnicas e Instrumentos de Recolección de Datos</w:t>
      </w:r>
      <w:r>
        <w:tab/>
      </w:r>
      <w:r>
        <w:rPr>
          <w:rFonts w:ascii="Arial" w:hAnsi="Arial"/>
          <w:sz w:val="22"/>
        </w:rPr>
        <w:t>19</w:t>
      </w:r>
    </w:p>
    <w:p>
      <w:pPr>
        <w:pStyle w:val="TOC3"/>
        <w:tabs>
          <w:tab w:val="right" w:leader="dot" w:pos="9026"/>
        </w:tabs>
        <w:ind w:left="560"/>
        <w:spacing w:after="60"/>
      </w:pPr>
      <w:r>
        <w:rPr>
          <w:rFonts w:ascii="Arial" w:hAnsi="Arial"/>
          <w:sz w:val="22"/>
        </w:rPr>
        <w:t>Matriz de Operacionalización</w:t>
      </w:r>
      <w:r>
        <w:tab/>
      </w:r>
      <w:r>
        <w:rPr>
          <w:rFonts w:ascii="Arial" w:hAnsi="Arial"/>
          <w:sz w:val="22"/>
        </w:rPr>
        <w:t>20</w:t>
      </w:r>
    </w:p>
    <w:p>
      <w:pPr>
        <w:pStyle w:val="TOC3"/>
        <w:tabs>
          <w:tab w:val="right" w:leader="dot" w:pos="9026"/>
        </w:tabs>
        <w:ind w:left="560"/>
        <w:spacing w:after="60"/>
      </w:pPr>
      <w:r>
        <w:rPr>
          <w:rFonts w:ascii="Arial" w:hAnsi="Arial"/>
          <w:sz w:val="22"/>
        </w:rPr>
        <w:t>Procedimiento y Fases del Trabajo de Campo</w:t>
      </w:r>
      <w:r>
        <w:tab/>
      </w:r>
      <w:r>
        <w:rPr>
          <w:rFonts w:ascii="Arial" w:hAnsi="Arial"/>
          <w:sz w:val="22"/>
        </w:rPr>
        <w:t>22</w:t>
      </w:r>
    </w:p>
    <w:p>
      <w:pPr>
        <w:pStyle w:val="TOC3"/>
        <w:tabs>
          <w:tab w:val="right" w:leader="dot" w:pos="9026"/>
        </w:tabs>
        <w:ind w:left="560"/>
        <w:spacing w:after="60"/>
      </w:pPr>
      <w:r>
        <w:rPr>
          <w:rFonts w:ascii="Arial" w:hAnsi="Arial"/>
          <w:sz w:val="22"/>
        </w:rPr>
        <w:t>Procesamiento y Análisis de Datos</w:t>
      </w:r>
      <w:r>
        <w:tab/>
      </w:r>
      <w:r>
        <w:rPr>
          <w:rFonts w:ascii="Arial" w:hAnsi="Arial"/>
          <w:sz w:val="22"/>
        </w:rPr>
        <w:t>22</w:t>
      </w:r>
    </w:p>
    <w:p>
      <w:pPr>
        <w:pStyle w:val="TOC3"/>
        <w:tabs>
          <w:tab w:val="right" w:leader="dot" w:pos="9026"/>
        </w:tabs>
        <w:ind w:left="560"/>
        <w:spacing w:after="60"/>
      </w:pPr>
      <w:r>
        <w:rPr>
          <w:rFonts w:ascii="Arial" w:hAnsi="Arial"/>
          <w:sz w:val="22"/>
        </w:rPr>
        <w:t>Consideraciones Éticas</w:t>
      </w:r>
      <w:r>
        <w:tab/>
      </w:r>
      <w:r>
        <w:rPr>
          <w:rFonts w:ascii="Arial" w:hAnsi="Arial"/>
          <w:sz w:val="22"/>
        </w:rPr>
        <w:t>23</w:t>
      </w:r>
    </w:p>
    <w:p>
      <w:pPr>
        <w:pStyle w:val="TOC2"/>
        <w:tabs>
          <w:tab w:val="right" w:leader="dot" w:pos="9026"/>
        </w:tabs>
        <w:ind w:left="280"/>
        <w:spacing w:after="60"/>
      </w:pPr>
      <w:r>
        <w:rPr>
          <w:rFonts w:ascii="Arial" w:hAnsi="Arial"/>
          <w:sz w:val="22"/>
        </w:rPr>
        <w:t>Cronograma de Actividades</w:t>
      </w:r>
      <w:r>
        <w:tab/>
      </w:r>
      <w:r>
        <w:rPr>
          <w:rFonts w:ascii="Arial" w:hAnsi="Arial"/>
          <w:sz w:val="22"/>
        </w:rPr>
        <w:t>24</w:t>
      </w:r>
    </w:p>
    <w:p>
      <w:pPr>
        <w:pStyle w:val="TOC2"/>
        <w:tabs>
          <w:tab w:val="right" w:leader="dot" w:pos="9026"/>
        </w:tabs>
        <w:ind w:left="280"/>
        <w:spacing w:after="60"/>
      </w:pPr>
      <w:r>
        <w:rPr>
          <w:rFonts w:ascii="Arial" w:hAnsi="Arial"/>
          <w:sz w:val="22"/>
        </w:rPr>
        <w:t>Viabilidad del Proyecto</w:t>
      </w:r>
      <w:r>
        <w:tab/>
      </w:r>
      <w:r>
        <w:rPr>
          <w:rFonts w:ascii="Arial" w:hAnsi="Arial"/>
          <w:sz w:val="22"/>
        </w:rPr>
        <w:t>26</w:t>
      </w:r>
    </w:p>
    <w:p>
      <w:pPr>
        <w:pStyle w:val="TOC3"/>
        <w:tabs>
          <w:tab w:val="right" w:leader="dot" w:pos="9026"/>
        </w:tabs>
        <w:ind w:left="560"/>
        <w:spacing w:after="60"/>
      </w:pPr>
      <w:r>
        <w:rPr>
          <w:rFonts w:ascii="Arial" w:hAnsi="Arial"/>
          <w:sz w:val="22"/>
        </w:rPr>
        <w:t>Recursos Económicos y Presupuesto</w:t>
      </w:r>
      <w:r>
        <w:tab/>
      </w:r>
      <w:r>
        <w:rPr>
          <w:rFonts w:ascii="Arial" w:hAnsi="Arial"/>
          <w:sz w:val="22"/>
        </w:rPr>
        <w:t>26</w:t>
      </w:r>
    </w:p>
    <w:p>
      <w:pPr>
        <w:pStyle w:val="TOC3"/>
        <w:tabs>
          <w:tab w:val="right" w:leader="dot" w:pos="9026"/>
        </w:tabs>
        <w:ind w:left="560"/>
        <w:spacing w:after="60"/>
      </w:pPr>
      <w:r>
        <w:rPr>
          <w:rFonts w:ascii="Arial" w:hAnsi="Arial"/>
          <w:sz w:val="22"/>
        </w:rPr>
        <w:t>Recursos Humanos y Dedicación</w:t>
      </w:r>
      <w:r>
        <w:tab/>
      </w:r>
      <w:r>
        <w:rPr>
          <w:rFonts w:ascii="Arial" w:hAnsi="Arial"/>
          <w:sz w:val="22"/>
        </w:rPr>
        <w:t>26</w:t>
      </w:r>
    </w:p>
    <w:p>
      <w:pPr>
        <w:pStyle w:val="TOC3"/>
        <w:tabs>
          <w:tab w:val="right" w:leader="dot" w:pos="9026"/>
        </w:tabs>
        <w:ind w:left="560"/>
        <w:spacing w:after="60"/>
      </w:pPr>
      <w:r>
        <w:rPr>
          <w:rFonts w:ascii="Arial" w:hAnsi="Arial"/>
          <w:sz w:val="22"/>
        </w:rPr>
        <w:t>Recursos Técnicos y Materiales</w:t>
      </w:r>
      <w:r>
        <w:tab/>
      </w:r>
      <w:r>
        <w:rPr>
          <w:rFonts w:ascii="Arial" w:hAnsi="Arial"/>
          <w:sz w:val="22"/>
        </w:rPr>
        <w:t>26</w:t>
      </w:r>
    </w:p>
    <w:p>
      <w:pPr>
        <w:pStyle w:val="TOC3"/>
        <w:tabs>
          <w:tab w:val="right" w:leader="dot" w:pos="9026"/>
        </w:tabs>
        <w:ind w:left="560"/>
        <w:spacing w:after="60"/>
      </w:pPr>
      <w:r>
        <w:rPr>
          <w:rFonts w:ascii="Arial" w:hAnsi="Arial"/>
          <w:sz w:val="22"/>
        </w:rPr>
        <w:t>Viabilidad Institucional y Autorizaciones</w:t>
      </w:r>
      <w:r>
        <w:tab/>
      </w:r>
      <w:r>
        <w:rPr>
          <w:rFonts w:ascii="Arial" w:hAnsi="Arial"/>
          <w:sz w:val="22"/>
        </w:rPr>
        <w:t>27</w:t>
      </w:r>
    </w:p>
    <w:p>
      <w:pPr>
        <w:pStyle w:val="TOC1"/>
        <w:tabs>
          <w:tab w:val="right" w:leader="dot" w:pos="9026"/>
        </w:tabs>
        <w:ind w:left="0"/>
        <w:spacing w:after="60"/>
      </w:pPr>
      <w:r>
        <w:rPr>
          <w:rFonts w:ascii="Arial" w:hAnsi="Arial"/>
          <w:sz w:val="22"/>
        </w:rPr>
        <w:t>Referencias Bibliográficas</w:t>
      </w:r>
      <w:r>
        <w:tab/>
      </w:r>
      <w:r>
        <w:rPr>
          <w:rFonts w:ascii="Arial" w:hAnsi="Arial"/>
          <w:sz w:val="22"/>
        </w:rPr>
        <w:t>28</w:t>
      </w:r>
    </w:p>
    <w:p>
      <w:pPr>
        <w:pStyle w:val="TOC1"/>
        <w:tabs>
          <w:tab w:val="right" w:leader="dot" w:pos="9026"/>
        </w:tabs>
        <w:ind w:left="0"/>
        <w:spacing w:after="60"/>
      </w:pPr>
      <w:r>
        <w:rPr>
          <w:rFonts w:ascii="Arial" w:hAnsi="Arial"/>
          <w:sz w:val="22"/>
        </w:rPr>
        <w:t>Anexos Metodológicos</w:t>
      </w:r>
      <w:r>
        <w:tab/>
      </w:r>
      <w:r>
        <w:rPr>
          <w:rFonts w:ascii="Arial" w:hAnsi="Arial"/>
          <w:sz w:val="22"/>
        </w:rPr>
        <w:t>31</w:t>
      </w:r>
    </w:p>
    <w:p>
      <w:pPr>
        <w:pStyle w:val="TOC2"/>
        <w:tabs>
          <w:tab w:val="right" w:leader="dot" w:pos="9026"/>
        </w:tabs>
        <w:ind w:left="280"/>
        <w:spacing w:after="60"/>
      </w:pPr>
      <w:r>
        <w:rPr>
          <w:rFonts w:ascii="Arial" w:hAnsi="Arial"/>
          <w:sz w:val="22"/>
        </w:rPr>
        <w:t>Anexo I: Guía Temática de Entrevista Semiestructurada</w:t>
      </w:r>
      <w:r>
        <w:tab/>
      </w:r>
      <w:r>
        <w:rPr>
          <w:rFonts w:ascii="Arial" w:hAnsi="Arial"/>
          <w:sz w:val="22"/>
        </w:rPr>
        <w:t>31</w:t>
      </w:r>
    </w:p>
    <w:p>
      <w:pPr>
        <w:pStyle w:val="TOC3"/>
        <w:tabs>
          <w:tab w:val="right" w:leader="dot" w:pos="9026"/>
        </w:tabs>
        <w:ind w:left="560"/>
        <w:spacing w:after="60"/>
      </w:pPr>
      <w:r>
        <w:rPr>
          <w:rFonts w:ascii="Arial" w:hAnsi="Arial"/>
          <w:sz w:val="22"/>
        </w:rPr>
        <w:t>Bloque A: Guía Temática para Docentes de Cátedra y Autoridades Académicas</w:t>
      </w:r>
      <w:r>
        <w:tab/>
      </w:r>
      <w:r>
        <w:rPr>
          <w:rFonts w:ascii="Arial" w:hAnsi="Arial"/>
          <w:sz w:val="22"/>
        </w:rPr>
        <w:t>31</w:t>
      </w:r>
    </w:p>
    <w:p>
      <w:pPr>
        <w:pStyle w:val="TOC3"/>
        <w:tabs>
          <w:tab w:val="right" w:leader="dot" w:pos="9026"/>
        </w:tabs>
        <w:ind w:left="560"/>
        <w:spacing w:after="60"/>
      </w:pPr>
      <w:r>
        <w:rPr>
          <w:rFonts w:ascii="Arial" w:hAnsi="Arial"/>
          <w:sz w:val="22"/>
        </w:rPr>
        <w:t>Bloque B: Preguntas Específicas para la Representación Gremial Paritaria (ADUNC)</w:t>
      </w:r>
      <w:r>
        <w:tab/>
      </w:r>
      <w:r>
        <w:rPr>
          <w:rFonts w:ascii="Arial" w:hAnsi="Arial"/>
          <w:sz w:val="22"/>
        </w:rPr>
        <w:t>31</w:t>
      </w:r>
    </w:p>
    <w:p>
      <w:pPr>
        <w:pStyle w:val="TOC3"/>
        <w:tabs>
          <w:tab w:val="right" w:leader="dot" w:pos="9026"/>
        </w:tabs>
        <w:ind w:left="560"/>
        <w:spacing w:after="60"/>
      </w:pPr>
      <w:r>
        <w:rPr>
          <w:rFonts w:ascii="Arial" w:hAnsi="Arial"/>
          <w:sz w:val="22"/>
        </w:rPr>
        <w:t>Bloque C: Preguntas Específicas para Estudiantes Avanzados</w:t>
      </w:r>
      <w:r>
        <w:tab/>
      </w:r>
      <w:r>
        <w:rPr>
          <w:rFonts w:ascii="Arial" w:hAnsi="Arial"/>
          <w:sz w:val="22"/>
        </w:rPr>
        <w:t>32</w:t>
      </w:r>
    </w:p>
    <w:p>
      <w:pPr>
        <w:pStyle w:val="TOC2"/>
        <w:tabs>
          <w:tab w:val="right" w:leader="dot" w:pos="9026"/>
        </w:tabs>
        <w:ind w:left="280"/>
        <w:spacing w:after="60"/>
      </w:pPr>
      <w:r>
        <w:rPr>
          <w:rFonts w:ascii="Arial" w:hAnsi="Arial"/>
          <w:sz w:val="22"/>
        </w:rPr>
        <w:t>Anexo II: Cuestionario Exploratorio de Factibilidad (Escala Likert)</w:t>
      </w:r>
      <w:r>
        <w:tab/>
      </w:r>
      <w:r>
        <w:rPr>
          <w:rFonts w:ascii="Arial" w:hAnsi="Arial"/>
          <w:sz w:val="22"/>
        </w:rPr>
        <w:t>33</w:t>
      </w:r>
    </w:p>
    <w:p>
      <w:pPr>
        <w:pStyle w:val="TOC2"/>
        <w:tabs>
          <w:tab w:val="right" w:leader="dot" w:pos="9026"/>
        </w:tabs>
        <w:ind w:left="280"/>
        <w:spacing w:after="60"/>
      </w:pPr>
      <w:r>
        <w:rPr>
          <w:rFonts w:ascii="Arial" w:hAnsi="Arial"/>
          <w:sz w:val="22"/>
        </w:rPr>
        <w:t>Anexo III: Modelo de Nota Institucional de Solicitud de Aval Académico</w:t>
      </w:r>
      <w:r>
        <w:tab/>
      </w:r>
      <w:r>
        <w:rPr>
          <w:rFonts w:ascii="Arial" w:hAnsi="Arial"/>
          <w:sz w:val="22"/>
        </w:rPr>
        <w:t>34</w:t>
      </w:r>
    </w:p>
    <w:p>
      <w:pPr>
        <w:pStyle w:val="TOC2"/>
        <w:tabs>
          <w:tab w:val="right" w:leader="dot" w:pos="9026"/>
        </w:tabs>
        <w:ind w:left="280"/>
        <w:spacing w:after="60"/>
      </w:pPr>
      <w:r>
        <w:rPr>
          <w:rFonts w:ascii="Arial" w:hAnsi="Arial"/>
          <w:sz w:val="22"/>
        </w:rPr>
        <w:t>Anexo IV: Formulario de Consentimiento Informado</w:t>
      </w:r>
      <w:r>
        <w:tab/>
      </w:r>
      <w:r>
        <w:rPr>
          <w:rFonts w:ascii="Arial" w:hAnsi="Arial"/>
          <w:sz w:val="22"/>
        </w:rPr>
        <w:t>35</w:t>
      </w:r>
    </w:p>
    <w:p>
      <w:r>
        <w:fldChar w:fldCharType="end"/>
      </w:r>
    </w:p>
    <w:p>
      <w:pPr>
        <w:sectPr>
          <w:footerReference w:type="default" r:id="rId10"/>
          <w:type w:val="nextPage"/>
        </w:sectPr>
      </w:pPr>
      <w:r>
        <w:br w:type="page"/>
      </w:r>
    </w:p>
    <w:p>
      <w:pPr>
        <w:pStyle w:val="FirstParagraph"/>
        <w:spacing w:before="0" w:after="40" w:line="276" w:lineRule="auto"/>
        <w:jc w:val="center"/>
      </w:pPr>
      <w:r/>
      <w:r>
        <w:rPr>
          <w:rFonts w:ascii="Arial" w:hAnsi="Arial"/>
          <w:b/>
          <w:sz w:val="26"/>
        </w:rPr>
        <w:t>Evaluación del Desempeño Docente y Factibilidad de Implementación de un Modelo de Retroalimentación 360° en el Departamento de Administración Pública del CURZAS-UNCo (2027)</w:t>
      </w:r>
    </w:p>
    <w:p>
      <w:pPr>
        <w:spacing w:before="0" w:after="120" w:line="276" w:lineRule="auto"/>
        <w:jc w:val="center"/>
      </w:pPr>
      <w:r>
        <w:rPr>
          <w:rFonts w:ascii="Arial" w:hAnsi="Arial"/>
          <w:i/>
          <w:sz w:val="22"/>
        </w:rPr>
        <w:t>(Trabajo Práctico N° 4: Proyecto Integral de Trabajo Final de Graduación (TFG) — Res. CD-CURZAS N° 266/23)</w:t>
      </w:r>
    </w:p>
    <w:p>
      <w:pPr>
        <w:pStyle w:val="Heading1"/>
        <w:keepNext/>
        <w:spacing w:before="240" w:after="120" w:line="300" w:lineRule="auto"/>
      </w:pPr>
      <w:r>
        <w:rPr>
          <w:rFonts w:ascii="Arial" w:hAnsi="Arial"/>
          <w:b/>
          <w:sz w:val="28"/>
        </w:rPr>
        <w:t xml:space="preserve">Primera parte de la estructura del Proyecto de investigación de TFG</w:t>
      </w:r>
    </w:p>
    <w:bookmarkStart w:id="21" w:name="tema-de-investigación"/>
    <w:p>
      <w:pPr>
        <w:pStyle w:val="Heading2"/>
        <w:keepNext/>
        <w:spacing w:before="200" w:after="80" w:line="300" w:lineRule="auto"/>
      </w:pPr>
      <w:r>
        <w:rPr>
          <w:rFonts w:ascii="Arial" w:hAnsi="Arial"/>
          <w:b/>
          <w:sz w:val="24"/>
        </w:rPr>
        <w:t xml:space="preserve">Tema de Investigación</w:t>
      </w:r>
    </w:p>
    <w:p>
      <w:pPr>
        <w:pStyle w:val="FirstParagraph"/>
      </w:pPr>
      <w:r>
        <w:t xml:space="preserve">El presente proyecto de investigación se inscribe en la intersección entre la Administración Pública y la Gestión de Recursos Humanos, orientándose al análisis de capacidades estatales y modernización de la gestión en el ámbito universitario público</w:t>
      </w:r>
      <w:r>
        <w:t xml:space="preserve"> </w:t>
      </w:r>
      <w:r>
        <w:t xml:space="preserve">(Longo, 2006; Oszlak, 2020)</w:t>
      </w:r>
      <w:r>
        <w:t xml:space="preserve">. Conforme a las pautas de la Resolución CD-CURZAS N° 266/23</w:t>
      </w:r>
      <w:r>
        <w:t xml:space="preserve"> </w:t>
      </w:r>
      <w:r>
        <w:t xml:space="preserve">(Consejo Directivo del CURZAS, 2023)</w:t>
      </w:r>
      <w:r>
        <w:t xml:space="preserve"> </w:t>
      </w:r>
      <w:r>
        <w:t xml:space="preserve">y al criterio metodológico de pirámide invertida</w:t>
      </w:r>
      <w:r>
        <w:t xml:space="preserve"> </w:t>
      </w:r>
      <w:r>
        <w:t xml:space="preserve">(Sautu, 2005)</w:t>
      </w:r>
      <w:r>
        <w:t xml:space="preserve">, la indagación aborda la evaluación del rendimiento docente en el nivel superior y delimita como objeto de estudio la factibilidad de incorporar un modelo de retroalimentación multiactoral (360°) en el Departamento de Administración Pública del Complejo Universitario Regional Zona Atlántica y Sur (CURZAS) de la Universidad Nacional del Comahue (UNCo).</w:t>
      </w:r>
    </w:p>
    <w:bookmarkStart w:id="16" w:name="Xe05d670bca3d7ad19de5ec1592189deacaed7a3"/>
    <w:p>
      <w:pPr>
        <w:pStyle w:val="Heading3"/>
        <w:keepNext/>
        <w:spacing w:before="160" w:after="40" w:line="300" w:lineRule="auto"/>
      </w:pPr>
      <w:r>
        <w:rPr>
          <w:rFonts w:ascii="Arial" w:hAnsi="Arial"/>
          <w:b/>
          <w:i/>
          <w:sz w:val="24"/>
        </w:rPr>
        <w:t xml:space="preserve">Encuadre Conceptual en el Modelo de Francisco Longo</w:t>
      </w:r>
    </w:p>
    <w:p>
      <w:pPr>
        <w:pStyle w:val="FirstParagraph"/>
      </w:pPr>
      <w:r>
        <w:t xml:space="preserve">A nivel teórico, el proyecto toma como marco de referencia el modelo de gestión estratégica del empleo y los recursos humanos en el sector público formulado por Francisco</w:t>
      </w:r>
      <w:r>
        <w:t xml:space="preserve"> </w:t>
      </w:r>
      <w:r>
        <w:t xml:space="preserve">Longo (2006)</w:t>
      </w:r>
      <w:r>
        <w:t xml:space="preserve">. Dicho enfoque estructura la gestión de personas en subsistemas interdependientes:</w:t>
      </w:r>
    </w:p>
    <w:p>
      <w:pPr>
        <w:pStyle w:val="CaptionedFigure"/>
      </w:pPr>
      <w:r>
        <w:drawing>
          <wp:inline>
            <wp:extent cx="5067300" cy="3927157"/>
            <wp:effectExtent b="0" l="0" r="0" t="0"/>
            <wp:docPr descr="Subsistemas de la Gestión de Recursos Humanos en el Sector Público (Longo, 2006)." title="" id="14" name="Picture"/>
            <a:graphic>
              <a:graphicData uri="http://schemas.openxmlformats.org/drawingml/2006/picture">
                <pic:pic>
                  <pic:nvPicPr>
                    <pic:cNvPr descr="assets/Sistemas-longo.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067300" cy="3927157"/>
                    </a:xfrm>
                    <a:prstGeom prst="rect">
                      <a:avLst/>
                    </a:prstGeom>
                    <a:noFill/>
                    <a:ln w="9525">
                      <a:noFill/>
                      <a:headEnd/>
                      <a:tailEnd/>
                    </a:ln>
                  </pic:spPr>
                </pic:pic>
              </a:graphicData>
            </a:graphic>
          </wp:inline>
        </w:drawing>
      </w:r>
    </w:p>
    <w:p>
      <w:pPr>
        <w:pStyle w:val="ImageCaption"/>
      </w:pPr>
      <w:r>
        <w:rPr>
          <w:i/>
          <w:iCs/>
        </w:rPr>
        <w:t xml:space="preserve">Subsistemas de la Gestión de Recursos Humanos en el Sector Público</w:t>
      </w:r>
      <w:r>
        <w:rPr>
          <w:i/>
          <w:iCs/>
        </w:rPr>
        <w:t xml:space="preserve"> </w:t>
      </w:r>
      <w:r>
        <w:rPr>
          <w:i/>
          <w:iCs/>
        </w:rPr>
        <w:t xml:space="preserve">(Longo, 2006)</w:t>
      </w:r>
      <w:r>
        <w:rPr>
          <w:i/>
          <w:iCs/>
        </w:rPr>
        <w:t xml:space="preserve">.</w:t>
      </w:r>
    </w:p>
    <w:p>
      <w:pPr>
        <w:pStyle w:val="BodyText"/>
      </w:pPr>
      <w:r>
        <w:t xml:space="preserve">En el marco de este modelo, la investigación focaliza de forma prioritaria en el subsistema de</w:t>
      </w:r>
      <w:r>
        <w:t xml:space="preserve"> </w:t>
      </w:r>
      <w:r>
        <w:rPr>
          <w:i/>
          <w:iCs/>
        </w:rPr>
        <w:t xml:space="preserve">gestión del rendimiento</w:t>
      </w:r>
      <w:r>
        <w:t xml:space="preserve"> </w:t>
      </w:r>
      <w:r>
        <w:t xml:space="preserve">(evaluación del desempeño), articulándolo analíticamente con tres subsistemas complementarios:</w:t>
      </w:r>
      <w:r>
        <w:t xml:space="preserve"> </w:t>
      </w:r>
      <w:r>
        <w:rPr>
          <w:i/>
          <w:iCs/>
        </w:rPr>
        <w:t xml:space="preserve">gestión del desarrollo</w:t>
      </w:r>
      <w:r>
        <w:t xml:space="preserve"> </w:t>
      </w:r>
      <w:r>
        <w:t xml:space="preserve">(capacitación docente y planes de carrera),</w:t>
      </w:r>
      <w:r>
        <w:t xml:space="preserve"> </w:t>
      </w:r>
      <w:r>
        <w:rPr>
          <w:i/>
          <w:iCs/>
        </w:rPr>
        <w:t xml:space="preserve">organización del trabajo</w:t>
      </w:r>
      <w:r>
        <w:t xml:space="preserve"> </w:t>
      </w:r>
      <w:r>
        <w:t xml:space="preserve">(diseño de perfiles y funciones académicas presenciales e híbridas) y</w:t>
      </w:r>
      <w:r>
        <w:t xml:space="preserve"> </w:t>
      </w:r>
      <w:r>
        <w:rPr>
          <w:i/>
          <w:iCs/>
        </w:rPr>
        <w:t xml:space="preserve">gestión de las relaciones humanas y sociales</w:t>
      </w:r>
      <w:r>
        <w:t xml:space="preserve"> </w:t>
      </w:r>
      <w:r>
        <w:t xml:space="preserve">(clima institucional, cultura participativa y diálogo paritario). La investigación se orienta a explorar las condiciones organizacionales, técnicas, normativas y políticas requeridas para dotar a la evaluación docente de un sentido formativo</w:t>
      </w:r>
      <w:r>
        <w:t xml:space="preserve"> </w:t>
      </w:r>
      <w:r>
        <w:t xml:space="preserve">(Obando Freire et al., 2014; Sifuentes Ocegueda et al., 2016)</w:t>
      </w:r>
      <w:r>
        <w:t xml:space="preserve">, capaz de articular la retroalimentación del propio docente, sus colegas de cátedra, los estudiantes y la conducción académica.</w:t>
      </w:r>
    </w:p>
    <w:bookmarkEnd w:id="16"/>
    <w:bookmarkStart w:id="20" w:name="contexto-institucional-y-normativo"/>
    <w:p>
      <w:pPr>
        <w:pStyle w:val="Heading3"/>
        <w:keepNext/>
        <w:spacing w:before="160" w:after="40" w:line="300" w:lineRule="auto"/>
      </w:pPr>
      <w:r>
        <w:rPr>
          <w:rFonts w:ascii="Arial" w:hAnsi="Arial"/>
          <w:b/>
          <w:i/>
          <w:sz w:val="24"/>
        </w:rPr>
        <w:t xml:space="preserve">Contexto Institucional y Normativo</w:t>
      </w:r>
    </w:p>
    <w:p>
      <w:pPr>
        <w:pStyle w:val="FirstParagraph"/>
      </w:pPr>
      <w:r>
        <w:t xml:space="preserve">El estudio se desarrolla en el Departamento de Administración Pública del CURZAS-UNCo, unidad académica con sede central en la ciudad de Viedma (Río Negro). El Departamento coordina la Licenciatura en Administración Pública, el Ciclo de Complementación Curricular de la Licenciatura en Gestión de Recursos Humanos y diversos trayectos formativos para el sector público provincial y municipal. Su población estudiantil comprende tanto jóvenes de la comarca Viedma-Patagones como trabajadores estatales insertos en administraciones públicas. A ello se suma la expansión territorial a través de la Red Territorial de Nodos Universitarios distribuida en 10 localidades rionegrinas (Valcheta, Ramos Mexía, Sierra Colorada, Los Menucos, Maquinchao, Ingeniero Jacobacci, San Antonio Oeste / Las Grutas, Sierra Grande, General Conesa y Río Colorado), articuladas desde la sede central de Viedma bajo modalidades de cursada híbrida reguladas por la Resolución CD-CURZA N° 196/2022</w:t>
      </w:r>
      <w:r>
        <w:t xml:space="preserve"> </w:t>
      </w:r>
      <w:r>
        <w:t xml:space="preserve">(Consejo Directivo del CURZAS, 2022)</w:t>
      </w:r>
      <w:r>
        <w:t xml:space="preserve"> </w:t>
      </w:r>
      <w:r>
        <w:t xml:space="preserve">(ver Figura 2).</w:t>
      </w:r>
    </w:p>
    <w:p>
      <w:pPr>
        <w:pStyle w:val="CaptionedFigure"/>
      </w:pPr>
      <w:r>
        <w:drawing>
          <wp:inline>
            <wp:extent cx="4907280" cy="3336844"/>
            <wp:effectExtent b="0" l="0" r="0" t="0"/>
            <wp:docPr descr="Red Territorial de Nodos Universitarios del CURZAS-UNCo (Resolución CD-CURZA N° 196/2022)." title="" id="18" name="Picture"/>
            <a:graphic>
              <a:graphicData uri="http://schemas.openxmlformats.org/drawingml/2006/picture">
                <pic:pic>
                  <pic:nvPicPr>
                    <pic:cNvPr descr="assets/red_territorial.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bwMode="auto">
                    <a:xfrm>
                      <a:off x="0" y="0"/>
                      <a:ext cx="4907280" cy="3336844"/>
                    </a:xfrm>
                    <a:prstGeom prst="rect">
                      <a:avLst/>
                    </a:prstGeom>
                    <a:noFill/>
                    <a:ln w="9525">
                      <a:noFill/>
                      <a:headEnd/>
                      <a:tailEnd/>
                    </a:ln>
                  </pic:spPr>
                </pic:pic>
              </a:graphicData>
            </a:graphic>
          </wp:inline>
        </w:drawing>
      </w:r>
    </w:p>
    <w:p>
      <w:pPr>
        <w:pStyle w:val="ImageCaption"/>
      </w:pPr>
      <w:r>
        <w:rPr>
          <w:i/>
          <w:iCs/>
        </w:rPr>
        <w:t xml:space="preserve">Red Territorial de Nodos Universitarios del CURZAS-UNCo (Resolución CD-CURZA N° 196/2022).</w:t>
      </w:r>
    </w:p>
    <w:p>
      <w:pPr>
        <w:pStyle w:val="BodyText"/>
      </w:pPr>
      <w:r>
        <w:t xml:space="preserve">En el plano regulatorio, la labor docente en la institución se encuentra regida por:</w:t>
      </w:r>
    </w:p>
    <w:p>
      <w:pPr>
        <w:pStyle w:val="Compact"/>
        <w:numPr>
          <w:ilvl w:val="0"/>
          <w:numId w:val="1001"/>
        </w:numPr>
      </w:pPr>
      <w:r>
        <w:t xml:space="preserve">El Estatuto de la Universidad Nacional del Comahue (Ordenanza CS N° 0988/2025, texto ordenado)</w:t>
      </w:r>
      <w:r>
        <w:t xml:space="preserve"> </w:t>
      </w:r>
      <w:r>
        <w:t xml:space="preserve">(Universidad Nacional del Comahue, 2025)</w:t>
      </w:r>
      <w:r>
        <w:t xml:space="preserve">, que en sus artículos 17 y Disposición Transitoria Cuarta define al CURZAS como Complejo Universitario Regional, y en su Título X regula la Carrera Docente (Arts. 65 a 76).</w:t>
      </w:r>
    </w:p>
    <w:p>
      <w:pPr>
        <w:pStyle w:val="Compact"/>
        <w:numPr>
          <w:ilvl w:val="0"/>
          <w:numId w:val="1001"/>
        </w:numPr>
      </w:pPr>
      <w:r>
        <w:t xml:space="preserve">El Reglamento General de Carrera Docente de la UNCo (Ordenanza CS N° 0910/1997 y modificatorias)</w:t>
      </w:r>
      <w:r>
        <w:t xml:space="preserve"> </w:t>
      </w:r>
      <w:r>
        <w:t xml:space="preserve">(Universidad Nacional del Comahue, 1997)</w:t>
      </w:r>
      <w:r>
        <w:t xml:space="preserve">, que fija las pautas para informes anuales y evaluaciones periódicas cuatrienales.</w:t>
      </w:r>
    </w:p>
    <w:p>
      <w:pPr>
        <w:pStyle w:val="Compact"/>
        <w:numPr>
          <w:ilvl w:val="0"/>
          <w:numId w:val="1001"/>
        </w:numPr>
      </w:pPr>
      <w:r>
        <w:t xml:space="preserve">El Convenio Colectivo de Trabajo para los Docentes de las Instituciones Universitarias Nacionales (Decreto PEN N° 1246/2015)</w:t>
      </w:r>
      <w:r>
        <w:t xml:space="preserve"> </w:t>
      </w:r>
      <w:r>
        <w:t xml:space="preserve">(Decreto N° 1246/2015. Convenio Colectivo de Trabajo para los Docentes de las Instituciones Universitarias Nacionales, 2015)</w:t>
      </w:r>
      <w:r>
        <w:t xml:space="preserve">, que establece la garantía de estabilidad laboral, el régimen de concursos y los resguardos contra prácticas evaluativas arbitrarias.</w:t>
      </w:r>
    </w:p>
    <w:p>
      <w:pPr>
        <w:pStyle w:val="FirstParagraph"/>
      </w:pPr>
      <w:r>
        <w:t xml:space="preserve">Conforme a este marco estatutario, la permanencia docente descansa actualmente en dos dispositivos formales: informes anuales de cátedra (con memoria de actividades y encuesta estudiantil, Art. 74) y evaluaciones periódicas cuatrienales ante jurados externos con veeduría estudiantil (Art. 75). El supuesto orientador de la investigación</w:t>
      </w:r>
      <w:r>
        <w:t xml:space="preserve"> </w:t>
      </w:r>
      <w:r>
        <w:t xml:space="preserve">(Sautu, 2005)</w:t>
      </w:r>
      <w:r>
        <w:t xml:space="preserve"> </w:t>
      </w:r>
      <w:r>
        <w:t xml:space="preserve">plantea que estos dispositivos operan prioritariamente bajo una lógica de control administrativo-sumativo orientado a la acreditación del cargo, existiendo un área de vacancia institucional respecto a instancias de retroalimentación formativa y colegiada para el perfeccionamiento pedagógico.</w:t>
      </w:r>
    </w:p>
    <w:bookmarkEnd w:id="20"/>
    <w:bookmarkEnd w:id="21"/>
    <w:bookmarkStart w:id="26" w:name="delimitación-del-objeto-problema"/>
    <w:p>
      <w:pPr>
        <w:pStyle w:val="Heading2"/>
        <w:keepNext/>
        <w:spacing w:before="200" w:after="80" w:line="300" w:lineRule="auto"/>
      </w:pPr>
      <w:r>
        <w:rPr>
          <w:rFonts w:ascii="Arial" w:hAnsi="Arial"/>
          <w:b/>
          <w:sz w:val="24"/>
        </w:rPr>
        <w:t xml:space="preserve">Delimitación del Objeto Problema</w:t>
      </w:r>
    </w:p>
    <w:bookmarkStart w:id="22" w:name="X980636a51acd85172d6d0208c80bd39d305601a"/>
    <w:p>
      <w:pPr>
        <w:pStyle w:val="Heading3"/>
        <w:keepNext/>
        <w:spacing w:before="160" w:after="40" w:line="300" w:lineRule="auto"/>
      </w:pPr>
      <w:r>
        <w:rPr>
          <w:rFonts w:ascii="Arial" w:hAnsi="Arial"/>
          <w:b/>
          <w:i/>
          <w:sz w:val="24"/>
        </w:rPr>
        <w:t xml:space="preserve">Problematización y Justificación del Caso</w:t>
      </w:r>
    </w:p>
    <w:p>
      <w:pPr>
        <w:pStyle w:val="FirstParagraph"/>
      </w:pPr>
      <w:r>
        <w:t xml:space="preserve">Problematizar una práctica organizacional implica desnaturalizar las rutinas administrativas para examinar sus tensiones de fondo</w:t>
      </w:r>
      <w:r>
        <w:t xml:space="preserve"> </w:t>
      </w:r>
      <w:r>
        <w:t xml:space="preserve">(Wainerman &amp; Sautu, 2011)</w:t>
      </w:r>
      <w:r>
        <w:t xml:space="preserve">. En la universidad pública rionegrina, la evaluación docente convive con la exigencia de acreditar permanencia estatutaria bajo un régimen donde dos evaluaciones cuatrienales negativas consecutivas determinan la vacancia del cargo (Art. 75, inc. c, Estatuto UNCo). Este mecanismo sumativo formal genera una prevención razonable en el cuerpo docente ante instrumentos evaluativos no consensuados.</w:t>
      </w:r>
    </w:p>
    <w:p>
      <w:pPr>
        <w:pStyle w:val="BodyText"/>
      </w:pPr>
      <w:r>
        <w:t xml:space="preserve">No obstante, los mecanismos estatutarios vigentes no proveen devoluciones pedagógicas sistemáticas que permitan al profesorado reflexionar sobre su práctica didáctica cotidiana ni aportan información cualitativa estructurada para orientar el Programa Anual de Capacitación Docente previsto en el artículo 76 del Estatuto. Frente a esta brecha entre el control de permanencia y el desarrollo profesional continuo, la literatura universitaria destaca la potencialidad de los modelos de retroalimentación multiactoral o 360 grados</w:t>
      </w:r>
      <w:r>
        <w:t xml:space="preserve"> </w:t>
      </w:r>
      <w:r>
        <w:t xml:space="preserve">(Obando Freire et al., 2014; Sifuentes Ocegueda et al., 2016)</w:t>
      </w:r>
      <w:r>
        <w:t xml:space="preserve">. La singularidad de esta investigación radica en indagar la factibilidad de este dispositivo en una unidad académica signada por el cogobierno colegiado, la negociación paritaria y la dispersión territorial en entornos híbridos.</w:t>
      </w:r>
    </w:p>
    <w:bookmarkEnd w:id="22"/>
    <w:bookmarkStart w:id="23" w:name="delimitaciones-metodológicas"/>
    <w:p>
      <w:pPr>
        <w:pStyle w:val="Heading3"/>
        <w:keepNext/>
        <w:spacing w:before="160" w:after="40" w:line="300" w:lineRule="auto"/>
      </w:pPr>
      <w:r>
        <w:rPr>
          <w:rFonts w:ascii="Arial" w:hAnsi="Arial"/>
          <w:b/>
          <w:i/>
          <w:sz w:val="24"/>
        </w:rPr>
        <w:t xml:space="preserve">Delimitaciones Metodológicas</w:t>
      </w:r>
    </w:p>
    <w:p>
      <w:pPr>
        <w:pStyle w:val="FirstParagraph"/>
      </w:pPr>
      <w:r>
        <w:t xml:space="preserve">Siguiendo las pautas del SIA, el objeto de estudio se delimita en cuatro dimensiones analíticas:</w:t>
      </w:r>
    </w:p>
    <w:p>
      <w:pPr>
        <w:pStyle w:val="Compact"/>
        <w:numPr>
          <w:ilvl w:val="0"/>
          <w:numId w:val="1002"/>
        </w:numPr>
      </w:pPr>
      <w:r>
        <w:rPr>
          <w:b/>
          <w:bCs/>
        </w:rPr>
        <w:t xml:space="preserve">Delimitación Temática y Conceptual:</w:t>
      </w:r>
      <w:r>
        <w:t xml:space="preserve"> </w:t>
      </w:r>
      <w:r>
        <w:t xml:space="preserve">Factibilidad de implementación de un modelo de retroalimentación 360° en la evaluación docente, analizado desde cuatro subsistemas de recursos humanos</w:t>
      </w:r>
      <w:r>
        <w:t xml:space="preserve"> </w:t>
      </w:r>
      <w:r>
        <w:t xml:space="preserve">(Longo, 2006)</w:t>
      </w:r>
      <w:r>
        <w:t xml:space="preserve">: rendimiento, desarrollo, organización del trabajo y relaciones humanas.</w:t>
      </w:r>
    </w:p>
    <w:p>
      <w:pPr>
        <w:pStyle w:val="Compact"/>
        <w:numPr>
          <w:ilvl w:val="0"/>
          <w:numId w:val="1002"/>
        </w:numPr>
      </w:pPr>
      <w:r>
        <w:rPr>
          <w:b/>
          <w:bCs/>
        </w:rPr>
        <w:t xml:space="preserve">Delimitación Espacial:</w:t>
      </w:r>
      <w:r>
        <w:t xml:space="preserve"> </w:t>
      </w:r>
      <w:r>
        <w:t xml:space="preserve">Sede central del CURZAS (Viedma) y Red Territorial de Nodos Universitarios en sus 10 localidades (Valcheta, Ramos Mexía, Sierra Colorada, Los Menucos, Maquinchao, Ingeniero Jacobacci, San Antonio Oeste / Las Grutas, Sierra Grande, General Conesa y Río Colorado), donde el Departamento dicta asignaturas bajo modalidades presenciales e híbridas con mediación tecnológica y presencialidad distribuida.</w:t>
      </w:r>
    </w:p>
    <w:p>
      <w:pPr>
        <w:pStyle w:val="Compact"/>
        <w:numPr>
          <w:ilvl w:val="0"/>
          <w:numId w:val="1002"/>
        </w:numPr>
      </w:pPr>
      <w:r>
        <w:rPr>
          <w:b/>
          <w:bCs/>
        </w:rPr>
        <w:t xml:space="preserve">Delimitación Temporal:</w:t>
      </w:r>
      <w:r>
        <w:t xml:space="preserve"> </w:t>
      </w:r>
      <w:r>
        <w:t xml:space="preserve">Ciclo lectivo 2027 (mayo a noviembre de 2027), período en el que se llevará a cabo el trabajo de campo empírico, la recolección y análisis de datos y la redacción final del TFG, bajo la plena vigencia del nuevo Estatuto UNCo (Ord. CS N° 0988/2025).</w:t>
      </w:r>
    </w:p>
    <w:p>
      <w:pPr>
        <w:pStyle w:val="Compact"/>
        <w:numPr>
          <w:ilvl w:val="0"/>
          <w:numId w:val="1002"/>
        </w:numPr>
      </w:pPr>
      <w:r>
        <w:rPr>
          <w:b/>
          <w:bCs/>
        </w:rPr>
        <w:t xml:space="preserve">Delimitación Poblacional y Organizacional:</w:t>
      </w:r>
      <w:r>
        <w:t xml:space="preserve"> </w:t>
      </w:r>
      <w:r>
        <w:t xml:space="preserve">La unidad institucional es el Departamento de Administración Pública. Los actores involucrados comprenden docentes (regulares e interinos), estudiantes regulares, autoridades académicas (Dirección departamental y miembros del Consejo Departamental) y representantes gremiales paritarios (ADUNC).</w:t>
      </w:r>
    </w:p>
    <w:bookmarkEnd w:id="23"/>
    <w:bookmarkStart w:id="24" w:name="X34b8878ee35a59a32f57e99ffb922f09a66d9ea"/>
    <w:p>
      <w:pPr>
        <w:pStyle w:val="Heading3"/>
        <w:keepNext/>
        <w:spacing w:before="160" w:after="40" w:line="300" w:lineRule="auto"/>
      </w:pPr>
      <w:r>
        <w:rPr>
          <w:rFonts w:ascii="Arial" w:hAnsi="Arial"/>
          <w:b/>
          <w:i/>
          <w:sz w:val="24"/>
        </w:rPr>
        <w:t xml:space="preserve">Enfoque Analítico de las Dimensiones de Factibilidad</w:t>
      </w:r>
    </w:p>
    <w:p>
      <w:pPr>
        <w:pStyle w:val="FirstParagraph"/>
      </w:pPr>
      <w:r>
        <w:t xml:space="preserve">En el marco de la gestión pública</w:t>
      </w:r>
      <w:r>
        <w:t xml:space="preserve"> </w:t>
      </w:r>
      <w:r>
        <w:t xml:space="preserve">(Longo, 2006; Matus, 1993)</w:t>
      </w:r>
      <w:r>
        <w:t xml:space="preserve">, la factibilidad representa el grado de adecuación y compatibilidad real entre una innovación propuesta y las condiciones contextuales donde pretende operar. En el CURZAS-UNCo, esta evaluación preliminar abarca cinco dimensiones analíticas:</w:t>
      </w:r>
    </w:p>
    <w:p>
      <w:pPr>
        <w:pStyle w:val="Compact"/>
        <w:numPr>
          <w:ilvl w:val="0"/>
          <w:numId w:val="1003"/>
        </w:numPr>
      </w:pPr>
      <w:r>
        <w:rPr>
          <w:i/>
          <w:iCs/>
        </w:rPr>
        <w:t xml:space="preserve">Factibilidad normativa y estatutaria:</w:t>
      </w:r>
      <w:r>
        <w:t xml:space="preserve"> </w:t>
      </w:r>
      <w:r>
        <w:t xml:space="preserve">Compatibilidad con el Estatuto UNCo, el Reglamento de Carrera Docente y el Convenio Colectivo de Trabajo Docente (Decreto N° 1246/2015), asegurando la no sumatividad y la preservación de la estabilidad laboral.</w:t>
      </w:r>
    </w:p>
    <w:p>
      <w:pPr>
        <w:pStyle w:val="Compact"/>
        <w:numPr>
          <w:ilvl w:val="0"/>
          <w:numId w:val="1003"/>
        </w:numPr>
      </w:pPr>
      <w:r>
        <w:rPr>
          <w:i/>
          <w:iCs/>
        </w:rPr>
        <w:t xml:space="preserve">Factibilidad técnica e instrumental:</w:t>
      </w:r>
      <w:r>
        <w:t xml:space="preserve"> </w:t>
      </w:r>
      <w:r>
        <w:t xml:space="preserve">Disponibilidad de plataformas digitales institucionales (Moodle, SIU-Guaraní) e instrumentos breves capaces de procesar la retroalimentación multiactoral resguardando rigurosamente el anonimato técnico.</w:t>
      </w:r>
    </w:p>
    <w:p>
      <w:pPr>
        <w:pStyle w:val="Compact"/>
        <w:numPr>
          <w:ilvl w:val="0"/>
          <w:numId w:val="1003"/>
        </w:numPr>
      </w:pPr>
      <w:r>
        <w:rPr>
          <w:i/>
          <w:iCs/>
        </w:rPr>
        <w:t xml:space="preserve">Factibilidad organizacional y procedimental:</w:t>
      </w:r>
      <w:r>
        <w:t xml:space="preserve"> </w:t>
      </w:r>
      <w:r>
        <w:t xml:space="preserve">Capacidad de gestión del Departamento para canalizar los diagnósticos hacia el Programa Anual de Capacitación Docente (Art. 76 del Estatuto) sin sobrecargar los circuitos administrativos.</w:t>
      </w:r>
    </w:p>
    <w:p>
      <w:pPr>
        <w:pStyle w:val="Compact"/>
        <w:numPr>
          <w:ilvl w:val="0"/>
          <w:numId w:val="1003"/>
        </w:numPr>
      </w:pPr>
      <w:r>
        <w:rPr>
          <w:i/>
          <w:iCs/>
        </w:rPr>
        <w:t xml:space="preserve">Factibilidad cultural y actitudinal:</w:t>
      </w:r>
      <w:r>
        <w:t xml:space="preserve"> </w:t>
      </w:r>
      <w:r>
        <w:t xml:space="preserve">Clima de confianza institucional y disposición de docentes y estudiantes ante la coevaluación y la autorreflexión pedagógica.</w:t>
      </w:r>
    </w:p>
    <w:p>
      <w:pPr>
        <w:pStyle w:val="Compact"/>
        <w:numPr>
          <w:ilvl w:val="0"/>
          <w:numId w:val="1003"/>
        </w:numPr>
      </w:pPr>
      <w:r>
        <w:rPr>
          <w:i/>
          <w:iCs/>
        </w:rPr>
        <w:t xml:space="preserve">Factibilidad de gobernanza multinivel:</w:t>
      </w:r>
      <w:r>
        <w:t xml:space="preserve"> </w:t>
      </w:r>
      <w:r>
        <w:t xml:space="preserve">Viabilidad política para deliberar y consensuar la propuesta en los órganos colegiados de gobierno y con la representación gremial docente (ADUNC).</w:t>
      </w:r>
    </w:p>
    <w:bookmarkEnd w:id="24"/>
    <w:bookmarkStart w:id="25" w:name="pregunta-general-de-investigación"/>
    <w:p>
      <w:pPr>
        <w:pStyle w:val="Heading3"/>
        <w:keepNext/>
        <w:spacing w:before="160" w:after="40" w:line="300" w:lineRule="auto"/>
      </w:pPr>
      <w:r>
        <w:rPr>
          <w:rFonts w:ascii="Arial" w:hAnsi="Arial"/>
          <w:b/>
          <w:i/>
          <w:sz w:val="24"/>
        </w:rPr>
        <w:t xml:space="preserve">Pregunta General de Investigación</w:t>
      </w:r>
    </w:p>
    <w:p>
      <w:pPr>
        <w:pStyle w:val="BlockText"/>
      </w:pPr>
      <w:r>
        <w:t xml:space="preserve">¿Cuáles son las condiciones de factibilidad organizacional, técnica, normativa y de gobernanza multinivel para la implementación de un modelo de retroalimentación multiactoral (360°) en la evaluación del desempeño docente en el Departamento de Administración Pública del CURZAS-UNCo durante el año 2027?</w:t>
      </w:r>
    </w:p>
    <w:bookmarkEnd w:id="25"/>
    <w:bookmarkEnd w:id="26"/>
    <w:bookmarkStart w:id="27" w:name="X681cec084bc0b6c304e32f87344fd4265dfa7e1"/>
    <w:p>
      <w:pPr>
        <w:pStyle w:val="Heading2"/>
        <w:keepNext/>
        <w:spacing w:before="200" w:after="80" w:line="300" w:lineRule="auto"/>
      </w:pPr>
      <w:r>
        <w:rPr>
          <w:rFonts w:ascii="Arial" w:hAnsi="Arial"/>
          <w:b/>
          <w:sz w:val="24"/>
        </w:rPr>
        <w:t xml:space="preserve">Justificación y Relevancia de la Investigación</w:t>
      </w:r>
    </w:p>
    <w:p>
      <w:pPr>
        <w:pStyle w:val="FirstParagraph"/>
      </w:pPr>
      <w:r>
        <w:t xml:space="preserve">La investigación se justifica en tres planos complementarios:</w:t>
      </w:r>
    </w:p>
    <w:p>
      <w:pPr>
        <w:pStyle w:val="Compact"/>
        <w:numPr>
          <w:ilvl w:val="0"/>
          <w:numId w:val="1004"/>
        </w:numPr>
      </w:pPr>
      <w:r>
        <w:rPr>
          <w:b/>
          <w:bCs/>
        </w:rPr>
        <w:t xml:space="preserve">Plano Cognitivo y Disciplinar:</w:t>
      </w:r>
      <w:r>
        <w:t xml:space="preserve"> </w:t>
      </w:r>
      <w:r>
        <w:t xml:space="preserve">Aporta evidencia empírica situada sobre la evaluación del rendimiento en universidades públicas patagónicas. La literatura sobre modelos 360° proviene predominantemente del ámbito corporativo o de universidades privadas</w:t>
      </w:r>
      <w:r>
        <w:t xml:space="preserve"> </w:t>
      </w:r>
      <w:r>
        <w:t xml:space="preserve">(Lepsinger &amp; Lucia, 2009)</w:t>
      </w:r>
      <w:r>
        <w:t xml:space="preserve">; investigar su adaptación a una universidad pública cogobernada y con docencia híbrida contribuye al análisis de las capacidades estatales y la gestión de personas en el sector público</w:t>
      </w:r>
      <w:r>
        <w:t xml:space="preserve"> </w:t>
      </w:r>
      <w:r>
        <w:t xml:space="preserve">(Longo, 2006; Oszlak, 2020)</w:t>
      </w:r>
      <w:r>
        <w:t xml:space="preserve">.</w:t>
      </w:r>
    </w:p>
    <w:p>
      <w:pPr>
        <w:pStyle w:val="Compact"/>
        <w:numPr>
          <w:ilvl w:val="0"/>
          <w:numId w:val="1004"/>
        </w:numPr>
      </w:pPr>
      <w:r>
        <w:rPr>
          <w:b/>
          <w:bCs/>
        </w:rPr>
        <w:t xml:space="preserve">Plano Social e Institucional:</w:t>
      </w:r>
      <w:r>
        <w:t xml:space="preserve"> </w:t>
      </w:r>
      <w:r>
        <w:t xml:space="preserve">Proporciona al Departamento de Administración Pública un diagnóstico riguroso sobre las percepciones y demandas formativas de su comunidad académica. Permite indagar cómo los docentes valoran el intercambio reflexivo con colegas, cómo los estudiantes pueden aportar juicios pedagógicos constructivos más allá de la encuesta sumativa de fin de curso, y qué capacidades de procesamiento requiere la conducción institucional.</w:t>
      </w:r>
    </w:p>
    <w:p>
      <w:pPr>
        <w:pStyle w:val="Compact"/>
        <w:numPr>
          <w:ilvl w:val="0"/>
          <w:numId w:val="1004"/>
        </w:numPr>
      </w:pPr>
      <w:r>
        <w:rPr>
          <w:b/>
          <w:bCs/>
        </w:rPr>
        <w:t xml:space="preserve">Plano Personal y Profesional:</w:t>
      </w:r>
      <w:r>
        <w:t xml:space="preserve"> </w:t>
      </w:r>
      <w:r>
        <w:t xml:space="preserve">Consolida la trayectoria del tesista integrando la formación de base como Técnico Superior en Recursos Humanos con el Ciclo de Complementación Curricular de la Licenciatura en Gestión de Recursos Humanos, aplicando herramientas de diagnóstico organizacional al fortalecimiento de la educación pública regional.</w:t>
      </w:r>
    </w:p>
    <w:bookmarkEnd w:id="27"/>
    <w:bookmarkStart w:id="31" w:name="definición-de-objetivos-del-tfg"/>
    <w:p>
      <w:pPr>
        <w:pStyle w:val="Heading2"/>
        <w:keepNext/>
        <w:spacing w:before="200" w:after="80" w:line="300" w:lineRule="auto"/>
      </w:pPr>
      <w:r>
        <w:rPr>
          <w:rFonts w:ascii="Arial" w:hAnsi="Arial"/>
          <w:b/>
          <w:sz w:val="24"/>
        </w:rPr>
        <w:t xml:space="preserve">Definición de Objetivos del TFG</w:t>
      </w:r>
    </w:p>
    <w:bookmarkStart w:id="28" w:name="objetivo-general"/>
    <w:p>
      <w:pPr>
        <w:pStyle w:val="Heading3"/>
        <w:keepNext/>
        <w:spacing w:before="160" w:after="40" w:line="300" w:lineRule="auto"/>
      </w:pPr>
      <w:r>
        <w:rPr>
          <w:rFonts w:ascii="Arial" w:hAnsi="Arial"/>
          <w:b/>
          <w:i/>
          <w:sz w:val="24"/>
        </w:rPr>
        <w:t xml:space="preserve">Objetivo General</w:t>
      </w:r>
    </w:p>
    <w:p>
      <w:pPr>
        <w:pStyle w:val="Compact"/>
        <w:numPr>
          <w:ilvl w:val="0"/>
          <w:numId w:val="1005"/>
        </w:numPr>
      </w:pPr>
      <w:r>
        <w:t xml:space="preserve">Determinar las condiciones de factibilidad organizacional, técnica, normativa y de gobernanza multinivel para la implementación de un modelo de retroalimentación multiactoral (360°) en la evaluación del desempeño docente en el Departamento de Administración Pública del CURZAS-UNCo (2027).</w:t>
      </w:r>
    </w:p>
    <w:bookmarkEnd w:id="28"/>
    <w:bookmarkStart w:id="29" w:name="objetivos-específicos"/>
    <w:p>
      <w:pPr>
        <w:pStyle w:val="Heading3"/>
        <w:keepNext/>
        <w:spacing w:before="160" w:after="40" w:line="300" w:lineRule="auto"/>
      </w:pPr>
      <w:r>
        <w:rPr>
          <w:rFonts w:ascii="Arial" w:hAnsi="Arial"/>
          <w:b/>
          <w:i/>
          <w:sz w:val="24"/>
        </w:rPr>
        <w:t xml:space="preserve">Objetivos Específicos</w:t>
      </w:r>
    </w:p>
    <w:p>
      <w:pPr>
        <w:pStyle w:val="Compact"/>
        <w:numPr>
          <w:ilvl w:val="0"/>
          <w:numId w:val="1006"/>
        </w:numPr>
      </w:pPr>
      <w:r>
        <w:t xml:space="preserve">Relevar y caracterizar los instrumentos normativos, procedimientos y prácticas vigentes aplicadas a la evaluación del desempeño docente en el Departamento de Administración Pública del CURZAS-UNCo, distinguiendo las prescripciones estatutarias de su implementación efectiva.</w:t>
      </w:r>
    </w:p>
    <w:p>
      <w:pPr>
        <w:pStyle w:val="Compact"/>
        <w:numPr>
          <w:ilvl w:val="0"/>
          <w:numId w:val="1006"/>
        </w:numPr>
      </w:pPr>
      <w:r>
        <w:t xml:space="preserve">Explorar las percepciones, disposiciones y representaciones de los actores institucionales involucrados (docentes y estudiantes) y de las autoridades departamentales respecto a la retroalimentación multiactoral (360°) y las condiciones de confianza institucional requeridas.</w:t>
      </w:r>
    </w:p>
    <w:p>
      <w:pPr>
        <w:pStyle w:val="Compact"/>
        <w:numPr>
          <w:ilvl w:val="0"/>
          <w:numId w:val="1006"/>
        </w:numPr>
      </w:pPr>
      <w:r>
        <w:t xml:space="preserve">Identificar los condicionantes técnico-organizacionales (incluyendo la resolución de la coevaluación en cátedras unipersonales mediante pares horizontales por área o tramo curricular), normativos y de gobernanza multinivel (acuerdos paritarios, carrera docente, confidencialidad y cogobierno) que inciden en la factibilidad del modelo en el marco de la poligobernanza institucional.</w:t>
      </w:r>
    </w:p>
    <w:p>
      <w:pPr>
        <w:pStyle w:val="Compact"/>
        <w:numPr>
          <w:ilvl w:val="0"/>
          <w:numId w:val="1006"/>
        </w:numPr>
      </w:pPr>
      <w:r>
        <w:t xml:space="preserve">Proponer lineamientos orientativos para una eventual implementación de un modelo de retroalimentación multiactoral (360°), en función de las condiciones y límites de factibilidad identificados en la investigación empírica.</w:t>
      </w:r>
    </w:p>
    <w:p>
      <w:r>
        <w:br w:type="page"/>
      </w:r>
    </w:p>
    <w:bookmarkEnd w:id="29"/>
    <w:bookmarkStart w:id="30" w:name="X296c76344d338238a09b1d3109b3b1ec06ec08f"/>
    <w:p>
      <w:pPr>
        <w:pStyle w:val="Heading3"/>
        <w:keepNext/>
        <w:spacing w:before="160" w:after="40" w:line="300" w:lineRule="auto"/>
      </w:pPr>
      <w:r>
        <w:rPr>
          <w:rFonts w:ascii="Arial" w:hAnsi="Arial"/>
          <w:b/>
          <w:i/>
          <w:sz w:val="24"/>
        </w:rPr>
        <w:t xml:space="preserve">Matriz de Consistencia Metodológica y Articulación con Longo (2006)</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left"/>
            </w:pPr>
            <w:r>
              <w:t xml:space="preserve">Nivel de Objetivo</w:t>
            </w:r>
          </w:p>
        </w:tc>
        <w:tc>
          <w:tcPr>
            <w:tcBorders>
              <w:bottom w:val="single" w:sz="6" w:space="0" w:color="000000"/>
            </w:tcBorders>
          </w:tcPr>
          <w:p>
            <w:pPr>
              <w:pStyle w:val="Compact"/>
              <w:jc w:val="left"/>
            </w:pPr>
            <w:r>
              <w:t xml:space="preserve">Dimensión Analítica</w:t>
            </w:r>
          </w:p>
        </w:tc>
        <w:tc>
          <w:tcPr>
            <w:tcBorders>
              <w:bottom w:val="single" w:sz="6" w:space="0" w:color="000000"/>
            </w:tcBorders>
          </w:tcPr>
          <w:p>
            <w:pPr>
              <w:pStyle w:val="Compact"/>
              <w:jc w:val="left"/>
            </w:pPr>
            <w:r>
              <w:t xml:space="preserve">Subsistema de RR.HH. (Longo, 2006)</w:t>
            </w:r>
          </w:p>
        </w:tc>
        <w:tc>
          <w:tcPr>
            <w:tcBorders>
              <w:bottom w:val="single" w:sz="6" w:space="0" w:color="000000"/>
            </w:tcBorders>
          </w:tcPr>
          <w:p>
            <w:pPr>
              <w:pStyle w:val="Compact"/>
              <w:jc w:val="left"/>
            </w:pPr>
            <w:r>
              <w:t xml:space="preserve">Fuentes e Instrumentos Previstos</w:t>
            </w:r>
          </w:p>
        </w:tc>
      </w:tr>
      <w:tr>
        <w:tc>
          <w:tcPr/>
          <w:p>
            <w:pPr>
              <w:pStyle w:val="Compact"/>
              <w:jc w:val="left"/>
            </w:pPr>
            <w:r>
              <w:rPr>
                <w:b/>
                <w:bCs/>
              </w:rPr>
              <w:t xml:space="preserve">General</w:t>
            </w:r>
          </w:p>
        </w:tc>
        <w:tc>
          <w:tcPr/>
          <w:p>
            <w:pPr>
              <w:pStyle w:val="Compact"/>
              <w:jc w:val="left"/>
            </w:pPr>
            <w:r>
              <w:rPr>
                <w:b/>
                <w:bCs/>
              </w:rPr>
              <w:t xml:space="preserve">Factibilidad integral:</w:t>
            </w:r>
            <w:r>
              <w:t xml:space="preserve"> </w:t>
            </w:r>
            <w:r>
              <w:t xml:space="preserve">Determinación de condiciones normativas, técnicas, organizacionales y de gobernanza para la retroalimentación 360°.</w:t>
            </w:r>
          </w:p>
        </w:tc>
        <w:tc>
          <w:tcPr/>
          <w:p>
            <w:pPr>
              <w:pStyle w:val="Compact"/>
              <w:jc w:val="left"/>
            </w:pPr>
            <w:r>
              <w:rPr>
                <w:b/>
                <w:bCs/>
              </w:rPr>
              <w:t xml:space="preserve">Gestión del rendimiento</w:t>
            </w:r>
            <w:r>
              <w:t xml:space="preserve"> </w:t>
            </w:r>
            <w:r>
              <w:t xml:space="preserve">(</w:t>
            </w:r>
            <w:r>
              <w:rPr>
                <w:i/>
                <w:iCs/>
              </w:rPr>
              <w:t xml:space="preserve">Evaluación formativa y desarrollo continuo</w:t>
            </w:r>
            <w:r>
              <w:t xml:space="preserve">)</w:t>
            </w:r>
          </w:p>
        </w:tc>
        <w:tc>
          <w:tcPr/>
          <w:p>
            <w:pPr>
              <w:pStyle w:val="Compact"/>
              <w:jc w:val="left"/>
            </w:pPr>
            <w:r>
              <w:t xml:space="preserve">Comunidad académica del Departamento de Administración Pública (CURZAS-UNCo).</w:t>
            </w:r>
          </w:p>
        </w:tc>
      </w:tr>
      <w:tr>
        <w:tc>
          <w:tcPr/>
          <w:p>
            <w:pPr>
              <w:pStyle w:val="Compact"/>
              <w:jc w:val="left"/>
            </w:pPr>
            <w:r>
              <w:rPr>
                <w:b/>
                <w:bCs/>
              </w:rPr>
              <w:t xml:space="preserve">Específico 1</w:t>
            </w:r>
          </w:p>
        </w:tc>
        <w:tc>
          <w:tcPr/>
          <w:p>
            <w:pPr>
              <w:pStyle w:val="Compact"/>
              <w:jc w:val="left"/>
            </w:pPr>
            <w:r>
              <w:rPr>
                <w:b/>
                <w:bCs/>
              </w:rPr>
              <w:t xml:space="preserve">Dimensión normativa-institucional:</w:t>
            </w:r>
            <w:r>
              <w:t xml:space="preserve"> </w:t>
            </w:r>
            <w:r>
              <w:t xml:space="preserve">Relevamiento de ordenanzas, reglamentos de carrera docente y prácticas efectivas de evaluación.</w:t>
            </w:r>
          </w:p>
        </w:tc>
        <w:tc>
          <w:tcPr/>
          <w:p>
            <w:pPr>
              <w:pStyle w:val="Compact"/>
              <w:jc w:val="left"/>
            </w:pPr>
            <w:r>
              <w:rPr>
                <w:b/>
                <w:bCs/>
              </w:rPr>
              <w:t xml:space="preserve">Gestión del rendimiento y Organización del trabajo</w:t>
            </w:r>
            <w:r>
              <w:t xml:space="preserve"> </w:t>
            </w:r>
            <w:r>
              <w:t xml:space="preserve">(</w:t>
            </w:r>
            <w:r>
              <w:rPr>
                <w:i/>
                <w:iCs/>
              </w:rPr>
              <w:t xml:space="preserve">Perfiles y funciones docentes según Estatuto y Ord. 0910/1997</w:t>
            </w:r>
            <w:r>
              <w:t xml:space="preserve">)</w:t>
            </w:r>
          </w:p>
        </w:tc>
        <w:tc>
          <w:tcPr/>
          <w:p>
            <w:pPr>
              <w:pStyle w:val="Compact"/>
              <w:jc w:val="left"/>
            </w:pPr>
            <w:r>
              <w:t xml:space="preserve">Estatuto UNCo (Ord. CS N° 0988/2025), Ord. CS N° 0910/1997 y CCT Docente (Decreto N° 1246/2015).</w:t>
            </w:r>
            <w:r>
              <w:t xml:space="preserve"> </w:t>
            </w:r>
            <w:r>
              <w:rPr>
                <w:i/>
                <w:iCs/>
              </w:rPr>
              <w:t xml:space="preserve">Ficha documental.</w:t>
            </w:r>
          </w:p>
        </w:tc>
      </w:tr>
      <w:tr>
        <w:tc>
          <w:tcPr/>
          <w:p>
            <w:pPr>
              <w:pStyle w:val="Compact"/>
              <w:jc w:val="left"/>
            </w:pPr>
            <w:r>
              <w:rPr>
                <w:b/>
                <w:bCs/>
              </w:rPr>
              <w:t xml:space="preserve">Específico 2</w:t>
            </w:r>
          </w:p>
        </w:tc>
        <w:tc>
          <w:tcPr/>
          <w:p>
            <w:pPr>
              <w:pStyle w:val="Compact"/>
              <w:jc w:val="left"/>
            </w:pPr>
            <w:r>
              <w:rPr>
                <w:b/>
                <w:bCs/>
              </w:rPr>
              <w:t xml:space="preserve">Dimensión intersubjetiva-cultural:</w:t>
            </w:r>
            <w:r>
              <w:t xml:space="preserve"> </w:t>
            </w:r>
            <w:r>
              <w:t xml:space="preserve">Exploración de percepciones, disposiciones y expectativas ante la autoevaluación y la mirada de pares y estudiantes.</w:t>
            </w:r>
          </w:p>
        </w:tc>
        <w:tc>
          <w:tcPr/>
          <w:p>
            <w:pPr>
              <w:pStyle w:val="Compact"/>
              <w:jc w:val="left"/>
            </w:pPr>
            <w:r>
              <w:rPr>
                <w:b/>
                <w:bCs/>
              </w:rPr>
              <w:t xml:space="preserve">Gestión de las relaciones humanas y sociales</w:t>
            </w:r>
            <w:r>
              <w:t xml:space="preserve"> </w:t>
            </w:r>
            <w:r>
              <w:t xml:space="preserve">(</w:t>
            </w:r>
            <w:r>
              <w:rPr>
                <w:i/>
                <w:iCs/>
              </w:rPr>
              <w:t xml:space="preserve">Clima laboral, confianza intersubjetiva y diálogo institucional</w:t>
            </w:r>
            <w:r>
              <w:t xml:space="preserve">)</w:t>
            </w:r>
          </w:p>
        </w:tc>
        <w:tc>
          <w:tcPr/>
          <w:p>
            <w:pPr>
              <w:pStyle w:val="Compact"/>
              <w:jc w:val="left"/>
            </w:pPr>
            <w:r>
              <w:t xml:space="preserve">Docentes, estudiantes y autoridades del Departamento.</w:t>
            </w:r>
            <w:r>
              <w:t xml:space="preserve"> </w:t>
            </w:r>
            <w:r>
              <w:rPr>
                <w:i/>
                <w:iCs/>
              </w:rPr>
              <w:t xml:space="preserve">Entrevistas y cuestionarios.</w:t>
            </w:r>
          </w:p>
        </w:tc>
      </w:tr>
      <w:tr>
        <w:tc>
          <w:tcPr/>
          <w:p>
            <w:pPr>
              <w:pStyle w:val="Compact"/>
              <w:jc w:val="left"/>
            </w:pPr>
            <w:r>
              <w:rPr>
                <w:b/>
                <w:bCs/>
              </w:rPr>
              <w:t xml:space="preserve">Específico 3</w:t>
            </w:r>
          </w:p>
        </w:tc>
        <w:tc>
          <w:tcPr/>
          <w:p>
            <w:pPr>
              <w:pStyle w:val="Compact"/>
              <w:jc w:val="left"/>
            </w:pPr>
            <w:r>
              <w:rPr>
                <w:b/>
                <w:bCs/>
              </w:rPr>
              <w:t xml:space="preserve">Dimensión de gobernanza multinivel:</w:t>
            </w:r>
            <w:r>
              <w:t xml:space="preserve"> </w:t>
            </w:r>
            <w:r>
              <w:t xml:space="preserve">Identificación de condicionantes de cogobierno, acuerdos paritarios y resguardos técnicos de confidencialidad.</w:t>
            </w:r>
          </w:p>
        </w:tc>
        <w:tc>
          <w:tcPr/>
          <w:p>
            <w:pPr>
              <w:pStyle w:val="Compact"/>
              <w:jc w:val="left"/>
            </w:pPr>
            <w:r>
              <w:rPr>
                <w:b/>
                <w:bCs/>
              </w:rPr>
              <w:t xml:space="preserve">Gestión del empleo y Relaciones laborales</w:t>
            </w:r>
            <w:r>
              <w:t xml:space="preserve"> </w:t>
            </w:r>
            <w:r>
              <w:t xml:space="preserve">(</w:t>
            </w:r>
            <w:r>
              <w:rPr>
                <w:i/>
                <w:iCs/>
              </w:rPr>
              <w:t xml:space="preserve">Condiciones de trabajo, estabilidad y negociación paritaria</w:t>
            </w:r>
            <w:r>
              <w:t xml:space="preserve">)</w:t>
            </w:r>
          </w:p>
        </w:tc>
        <w:tc>
          <w:tcPr/>
          <w:p>
            <w:pPr>
              <w:pStyle w:val="Compact"/>
              <w:jc w:val="left"/>
            </w:pPr>
            <w:r>
              <w:t xml:space="preserve">Representantes docentes y paritarios gremiales (ADUNC).</w:t>
            </w:r>
            <w:r>
              <w:t xml:space="preserve"> </w:t>
            </w:r>
            <w:r>
              <w:rPr>
                <w:i/>
                <w:iCs/>
              </w:rPr>
              <w:t xml:space="preserve">Entrevistas temáticas y actas de cogobierno.</w:t>
            </w:r>
          </w:p>
        </w:tc>
      </w:tr>
      <w:tr>
        <w:tc>
          <w:tcPr/>
          <w:p>
            <w:pPr>
              <w:pStyle w:val="Compact"/>
              <w:jc w:val="left"/>
            </w:pPr>
            <w:r>
              <w:rPr>
                <w:b/>
                <w:bCs/>
              </w:rPr>
              <w:t xml:space="preserve">Específico 4</w:t>
            </w:r>
          </w:p>
        </w:tc>
        <w:tc>
          <w:tcPr/>
          <w:p>
            <w:pPr>
              <w:pStyle w:val="Compact"/>
              <w:jc w:val="left"/>
            </w:pPr>
            <w:r>
              <w:rPr>
                <w:b/>
                <w:bCs/>
              </w:rPr>
              <w:t xml:space="preserve">Dimensión propositiva-orientativa:</w:t>
            </w:r>
            <w:r>
              <w:t xml:space="preserve"> </w:t>
            </w:r>
            <w:r>
              <w:t xml:space="preserve">Elaboración de lineamientos para una eventual aplicación formativa adaptada al caso.</w:t>
            </w:r>
          </w:p>
        </w:tc>
        <w:tc>
          <w:tcPr/>
          <w:p>
            <w:pPr>
              <w:pStyle w:val="Compact"/>
              <w:jc w:val="left"/>
            </w:pPr>
            <w:r>
              <w:rPr>
                <w:b/>
                <w:bCs/>
              </w:rPr>
              <w:t xml:space="preserve">Gestión del desarrollo</w:t>
            </w:r>
            <w:r>
              <w:t xml:space="preserve"> </w:t>
            </w:r>
            <w:r>
              <w:t xml:space="preserve">(</w:t>
            </w:r>
            <w:r>
              <w:rPr>
                <w:i/>
                <w:iCs/>
              </w:rPr>
              <w:t xml:space="preserve">Capacitación continua y articulación con el Art. 76 del Estatuto</w:t>
            </w:r>
            <w:r>
              <w:t xml:space="preserve">)</w:t>
            </w:r>
          </w:p>
        </w:tc>
        <w:tc>
          <w:tcPr/>
          <w:p>
            <w:pPr>
              <w:pStyle w:val="Compact"/>
              <w:jc w:val="left"/>
            </w:pPr>
            <w:r>
              <w:t xml:space="preserve">Síntesis analítica del proyecto articulada con las demandas diagnosticadas.</w:t>
            </w:r>
            <w:r>
              <w:t xml:space="preserve"> </w:t>
            </w:r>
            <w:r>
              <w:rPr>
                <w:i/>
                <w:iCs/>
              </w:rPr>
              <w:t xml:space="preserve">Propuesta de lineamientos.</w:t>
            </w:r>
          </w:p>
        </w:tc>
      </w:tr>
    </w:tbl>
    <w:p>
      <w:pPr>
        <w:pStyle w:val="BodyText"/>
      </w:pPr>
      <w:r>
        <w:rPr>
          <w:i/>
          <w:iCs/>
        </w:rPr>
        <w:t xml:space="preserve">Nota.</w:t>
      </w:r>
      <w:r>
        <w:t xml:space="preserve"> </w:t>
      </w:r>
      <w:r>
        <w:t xml:space="preserve">Elaboración propia a partir de Longo (2006) y la normativa del CURZAS-UNCo.</w:t>
      </w:r>
    </w:p>
    <w:p>
      <w:r>
        <w:br w:type="page"/>
      </w:r>
    </w:p>
    <w:bookmarkEnd w:id="30"/>
    <w:bookmarkEnd w:id="31"/>
    <w:bookmarkEnd w:id="32"/>
    <w:bookmarkStart w:id="48" w:name="Xef007dd282ae18f13df7a545a4430773f008bd7"/>
    <w:p>
      <w:pPr>
        <w:pStyle w:val="Heading1"/>
        <w:keepNext/>
        <w:spacing w:before="240" w:after="120" w:line="300" w:lineRule="auto"/>
      </w:pPr>
      <w:r>
        <w:rPr>
          <w:rFonts w:ascii="Arial" w:hAnsi="Arial"/>
          <w:b/>
          <w:sz w:val="28"/>
        </w:rPr>
        <w:t xml:space="preserve">Segunda parte de la estructura del Proyecto de investigación de TFG</w:t>
      </w:r>
    </w:p>
    <w:bookmarkStart w:id="42" w:name="X26fd7edd3045b8a76e95745d23dedb33f2c164e"/>
    <w:p>
      <w:pPr>
        <w:pStyle w:val="Heading2"/>
        <w:keepNext/>
        <w:spacing w:before="200" w:after="80" w:line="300" w:lineRule="auto"/>
      </w:pPr>
      <w:r>
        <w:rPr>
          <w:rFonts w:ascii="Arial" w:hAnsi="Arial"/>
          <w:b/>
          <w:sz w:val="24"/>
        </w:rPr>
        <w:t xml:space="preserve">Marco Teórico: Posicionamiento Teórico y Conceptos Centrales</w:t>
      </w:r>
    </w:p>
    <w:bookmarkStart w:id="33" w:name="Xb18223e7ab7e266bae13897adec2a6fe4848c02"/>
    <w:p>
      <w:pPr>
        <w:pStyle w:val="Heading3"/>
        <w:keepNext/>
        <w:spacing w:before="160" w:after="40" w:line="300" w:lineRule="auto"/>
      </w:pPr>
      <w:r>
        <w:rPr>
          <w:rFonts w:ascii="Arial" w:hAnsi="Arial"/>
          <w:b/>
          <w:i/>
          <w:sz w:val="24"/>
        </w:rPr>
        <w:t xml:space="preserve">Posicionamiento Epistemológico: La Teoría como Configuración Abierta</w:t>
      </w:r>
    </w:p>
    <w:p>
      <w:pPr>
        <w:pStyle w:val="FirstParagraph"/>
      </w:pPr>
      <w:r>
        <w:t xml:space="preserve">La construcción del marco teórico asume la perspectiva de la teoría como</w:t>
      </w:r>
      <w:r>
        <w:t xml:space="preserve"> </w:t>
      </w:r>
      <w:r>
        <w:rPr>
          <w:i/>
          <w:iCs/>
        </w:rPr>
        <w:t xml:space="preserve">configuración abierta</w:t>
      </w:r>
      <w:r>
        <w:t xml:space="preserve">, formulada por Enrique</w:t>
      </w:r>
      <w:r>
        <w:t xml:space="preserve"> </w:t>
      </w:r>
      <w:r>
        <w:t xml:space="preserve">De la Garza Toledo (2001)</w:t>
      </w:r>
      <w:r>
        <w:t xml:space="preserve"> </w:t>
      </w:r>
      <w:r>
        <w:t xml:space="preserve">en el ámbito de la epistemología crítica latinoamericana. Desde este enfoque, la teoría no constituye un sistema cerrado de axiomas rígidos, sino una red flexible y conceptualmente articulada que permite vincular categorías provenientes de la Administración Pública y la Gestión de Recursos Humanos, reconociendo zonas con diferentes grados de determinación y apertura analítica.</w:t>
      </w:r>
    </w:p>
    <w:p>
      <w:pPr>
        <w:pStyle w:val="BodyText"/>
      </w:pPr>
      <w:r>
        <w:t xml:space="preserve">Esta perspectiva resulta fértil para el estudio de la factibilidad organizacional:</w:t>
      </w:r>
    </w:p>
    <w:p>
      <w:pPr>
        <w:pStyle w:val="Compact"/>
        <w:numPr>
          <w:ilvl w:val="0"/>
          <w:numId w:val="1007"/>
        </w:numPr>
      </w:pPr>
      <w:r>
        <w:rPr>
          <w:i/>
          <w:iCs/>
        </w:rPr>
        <w:t xml:space="preserve">La realidad social como proceso abierto:</w:t>
      </w:r>
      <w:r>
        <w:t xml:space="preserve"> </w:t>
      </w:r>
      <w:r>
        <w:t xml:space="preserve">La organización universitaria no es un sistema estático regido por normas mecánicas, sino una trama dinámica construida cotidianamente por sujetos reflexivos (docentes, estudiantes y autoridades).</w:t>
      </w:r>
    </w:p>
    <w:p>
      <w:pPr>
        <w:pStyle w:val="Compact"/>
        <w:numPr>
          <w:ilvl w:val="0"/>
          <w:numId w:val="1007"/>
        </w:numPr>
      </w:pPr>
      <w:r>
        <w:rPr>
          <w:i/>
          <w:iCs/>
        </w:rPr>
        <w:t xml:space="preserve">Determinación del campo de lo viable:</w:t>
      </w:r>
      <w:r>
        <w:t xml:space="preserve"> </w:t>
      </w:r>
      <w:r>
        <w:t xml:space="preserve">Evaluar la factibilidad no consiste en emitir un pronóstico cerrado sobre el éxito o fracaso de un dispositivo, sino en desentrañar las condiciones estructurales, normativas y culturales del presente para reconstruir el espacio de posibilidades viables para la acción institucional</w:t>
      </w:r>
      <w:r>
        <w:t xml:space="preserve"> </w:t>
      </w:r>
      <w:r>
        <w:t xml:space="preserve">(De la Garza Toledo, 2001; Matus, 1993)</w:t>
      </w:r>
      <w:r>
        <w:t xml:space="preserve">.</w:t>
      </w:r>
    </w:p>
    <w:p>
      <w:pPr>
        <w:pStyle w:val="Compact"/>
        <w:numPr>
          <w:ilvl w:val="0"/>
          <w:numId w:val="1007"/>
        </w:numPr>
      </w:pPr>
      <w:r>
        <w:rPr>
          <w:i/>
          <w:iCs/>
        </w:rPr>
        <w:t xml:space="preserve">Articulación conceptual en pirámide invertida:</w:t>
      </w:r>
      <w:r>
        <w:t xml:space="preserve"> </w:t>
      </w:r>
      <w:r>
        <w:t xml:space="preserve">Siguiendo a</w:t>
      </w:r>
      <w:r>
        <w:t xml:space="preserve"> </w:t>
      </w:r>
      <w:r>
        <w:t xml:space="preserve">Sautu (2005)</w:t>
      </w:r>
      <w:r>
        <w:t xml:space="preserve">, el marco conceptual transita desde el análisis sistémico de personas en el Estado</w:t>
      </w:r>
      <w:r>
        <w:t xml:space="preserve"> </w:t>
      </w:r>
      <w:r>
        <w:t xml:space="preserve">(Longo, 2006)</w:t>
      </w:r>
      <w:r>
        <w:t xml:space="preserve"> </w:t>
      </w:r>
      <w:r>
        <w:t xml:space="preserve">hacia los conceptos específicos sobre evaluación multiactoral y gobernanza universitaria.</w:t>
      </w:r>
    </w:p>
    <w:bookmarkEnd w:id="33"/>
    <w:bookmarkStart w:id="34" w:name="Xb8875c50f8cca48579b6c9183d92a2c8c162b10"/>
    <w:p>
      <w:pPr>
        <w:pStyle w:val="Heading3"/>
        <w:keepNext/>
        <w:spacing w:before="160" w:after="40" w:line="300" w:lineRule="auto"/>
      </w:pPr>
      <w:r>
        <w:rPr>
          <w:rFonts w:ascii="Arial" w:hAnsi="Arial"/>
          <w:b/>
          <w:i/>
          <w:sz w:val="24"/>
        </w:rPr>
        <w:t xml:space="preserve">El Enfoque Sistémico de Gestión de Personas en el Sector Público: Modelo de Francisco Longo</w:t>
      </w:r>
    </w:p>
    <w:p>
      <w:pPr>
        <w:pStyle w:val="FirstParagraph"/>
      </w:pPr>
      <w:r>
        <w:t xml:space="preserve">La columna analítica de la investigación adopta el modelo de gestión estratégica de recursos humanos en organizaciones públicas desarrollado por Francisco</w:t>
      </w:r>
      <w:r>
        <w:t xml:space="preserve"> </w:t>
      </w:r>
      <w:r>
        <w:t xml:space="preserve">Longo (2006)</w:t>
      </w:r>
      <w:r>
        <w:t xml:space="preserve">. El autor propone superar el modelo burocrático-weberiano tradicional —enfocado en el apego formal a la norma procedimental sin atención a los resultados— mediante una administración orientada al mérito, el valor público y la flexibilidad directiva.</w:t>
      </w:r>
    </w:p>
    <w:p>
      <w:pPr>
        <w:pStyle w:val="BodyText"/>
      </w:pPr>
      <w:r>
        <w:t xml:space="preserve">El modelo se articula en torno al subsistema de</w:t>
      </w:r>
      <w:r>
        <w:t xml:space="preserve"> </w:t>
      </w:r>
      <w:r>
        <w:rPr>
          <w:i/>
          <w:iCs/>
        </w:rPr>
        <w:t xml:space="preserve">gestión del rendimiento</w:t>
      </w:r>
      <w:r>
        <w:t xml:space="preserve"> </w:t>
      </w:r>
      <w:r>
        <w:t xml:space="preserve">en estrecha interdependencia con otros tres subsistemas:</w:t>
      </w:r>
    </w:p>
    <w:p>
      <w:pPr>
        <w:pStyle w:val="Compact"/>
        <w:numPr>
          <w:ilvl w:val="0"/>
          <w:numId w:val="1008"/>
        </w:numPr>
      </w:pPr>
      <w:r>
        <w:rPr>
          <w:b/>
          <w:bCs/>
        </w:rPr>
        <w:t xml:space="preserve">Gestión del Rendimiento:</w:t>
      </w:r>
      <w:r>
        <w:t xml:space="preserve"> </w:t>
      </w:r>
      <w:r>
        <w:t xml:space="preserve">Constituye el eje estructurante del estudio. Comprende los instrumentos dirigidos a valorar la contribución de los agentes a los fines institucionales. Según</w:t>
      </w:r>
      <w:r>
        <w:t xml:space="preserve"> </w:t>
      </w:r>
      <w:r>
        <w:t xml:space="preserve">Longo (2006)</w:t>
      </w:r>
      <w:r>
        <w:t xml:space="preserve">, este subsistema adquiere legitimidad en el sector público cuando trasciende la fiscalización burocrática y se consolida como un proceso reflexivo de evaluación y perfeccionamiento laboral.</w:t>
      </w:r>
    </w:p>
    <w:p>
      <w:pPr>
        <w:pStyle w:val="Compact"/>
        <w:numPr>
          <w:ilvl w:val="0"/>
          <w:numId w:val="1008"/>
        </w:numPr>
      </w:pPr>
      <w:r>
        <w:rPr>
          <w:b/>
          <w:bCs/>
        </w:rPr>
        <w:t xml:space="preserve">Organización del Trabajo:</w:t>
      </w:r>
      <w:r>
        <w:t xml:space="preserve"> </w:t>
      </w:r>
      <w:r>
        <w:t xml:space="preserve">Articula los perfiles y funciones académicas de las cátedras con las demandas pedagógicas contemporáneas. En el CURZAS-UNCo, esto implica contrastar los criterios estatutarios formales con las exigencias docentes que imponen las aulas híbridas y el acompañamiento tutorial en los Nodos Universitarios</w:t>
      </w:r>
      <w:r>
        <w:t xml:space="preserve"> </w:t>
      </w:r>
      <w:r>
        <w:t xml:space="preserve">(Consejo Directivo del CURZAS, 2022)</w:t>
      </w:r>
      <w:r>
        <w:t xml:space="preserve">.</w:t>
      </w:r>
    </w:p>
    <w:p>
      <w:pPr>
        <w:pStyle w:val="Compact"/>
        <w:numPr>
          <w:ilvl w:val="0"/>
          <w:numId w:val="1008"/>
        </w:numPr>
      </w:pPr>
      <w:r>
        <w:rPr>
          <w:b/>
          <w:bCs/>
        </w:rPr>
        <w:t xml:space="preserve">Gestión del Desarrollo:</w:t>
      </w:r>
      <w:r>
        <w:t xml:space="preserve"> </w:t>
      </w:r>
      <w:r>
        <w:t xml:space="preserve">Vincula la evaluación con oportunidades de formación continua y actualización docente (Art. 76 del Estatuto UNCo). Evaluar sin ofrecer vías de perfeccionamiento pedagógico despoja al proceso de sentido formativo y lo reduce a un trámite administrativo estéril</w:t>
      </w:r>
      <w:r>
        <w:t xml:space="preserve"> </w:t>
      </w:r>
      <w:r>
        <w:t xml:space="preserve">(Longo, 2006)</w:t>
      </w:r>
      <w:r>
        <w:t xml:space="preserve">.</w:t>
      </w:r>
    </w:p>
    <w:p>
      <w:pPr>
        <w:pStyle w:val="Compact"/>
        <w:numPr>
          <w:ilvl w:val="0"/>
          <w:numId w:val="1008"/>
        </w:numPr>
      </w:pPr>
      <w:r>
        <w:rPr>
          <w:b/>
          <w:bCs/>
        </w:rPr>
        <w:t xml:space="preserve">Gestión de las Relaciones Humanas y Sociales:</w:t>
      </w:r>
      <w:r>
        <w:t xml:space="preserve"> </w:t>
      </w:r>
      <w:r>
        <w:t xml:space="preserve">Analiza el clima institucional, la confianza intersubjetiva y los canales de diálogo paritario docente. En instituciones cogobernadas, la evaluación incide en la percepción de estabilidad en el empleo; por ende, los acuerdos paritarios y los resguardos éticos de confidencialidad resultan indispensables para habilitar una disposición favorable hacia la coevaluación formativa.</w:t>
      </w:r>
    </w:p>
    <w:bookmarkEnd w:id="34"/>
    <w:bookmarkStart w:id="35" w:name="Xbe717e7d4a9ec277373b323803583edbc62981a"/>
    <w:p>
      <w:pPr>
        <w:pStyle w:val="Heading3"/>
        <w:keepNext/>
        <w:spacing w:before="160" w:after="40" w:line="300" w:lineRule="auto"/>
      </w:pPr>
      <w:r>
        <w:rPr>
          <w:rFonts w:ascii="Arial" w:hAnsi="Arial"/>
          <w:b/>
          <w:i/>
          <w:sz w:val="24"/>
        </w:rPr>
        <w:t xml:space="preserve">El Modelo de Retroalimentación 360° en la Educación Superior</w:t>
      </w:r>
    </w:p>
    <w:p>
      <w:pPr>
        <w:pStyle w:val="FirstParagraph"/>
      </w:pPr>
      <w:r>
        <w:t xml:space="preserve">En la gestión del rendimiento, la literatura distingue entre dos orientaciones evaluativas</w:t>
      </w:r>
      <w:r>
        <w:t xml:space="preserve"> </w:t>
      </w:r>
      <w:r>
        <w:t xml:space="preserve">(Chiavenato, 2020; Lepsinger &amp; Lucia, 2009)</w:t>
      </w:r>
      <w:r>
        <w:t xml:space="preserve">: la</w:t>
      </w:r>
      <w:r>
        <w:t xml:space="preserve"> </w:t>
      </w:r>
      <w:r>
        <w:rPr>
          <w:i/>
          <w:iCs/>
        </w:rPr>
        <w:t xml:space="preserve">lógica sumativa</w:t>
      </w:r>
      <w:r>
        <w:t xml:space="preserve"> </w:t>
      </w:r>
      <w:r>
        <w:t xml:space="preserve">(dirigida al control procesal, la auditoría reglamentaria y la toma de decisiones contractuales de permanencia) y la</w:t>
      </w:r>
      <w:r>
        <w:t xml:space="preserve"> </w:t>
      </w:r>
      <w:r>
        <w:rPr>
          <w:i/>
          <w:iCs/>
        </w:rPr>
        <w:t xml:space="preserve">lógica formativa</w:t>
      </w:r>
      <w:r>
        <w:t xml:space="preserve"> </w:t>
      </w:r>
      <w:r>
        <w:t xml:space="preserve">(orientada al aprendizaje reflexivo, al diagnóstico de fortalezas y debilidades pedagógicas y al enriquecimiento de la labor docente).</w:t>
      </w:r>
    </w:p>
    <w:p>
      <w:pPr>
        <w:pStyle w:val="BodyText"/>
      </w:pPr>
      <w:r>
        <w:t xml:space="preserve">Para operativizar un enfoque formativo en la universidad, el modelo de retroalimentación 360 grados</w:t>
      </w:r>
      <w:r>
        <w:t xml:space="preserve"> </w:t>
      </w:r>
      <w:r>
        <w:t xml:space="preserve">(Lepsinger &amp; Lucia, 2009; Obando Freire et al., 2014; Sifuentes Ocegueda et al., 2016)</w:t>
      </w:r>
      <w:r>
        <w:t xml:space="preserve"> </w:t>
      </w:r>
      <w:r>
        <w:t xml:space="preserve">plantea superar las evaluaciones unilaterales descendentes mediante una triangulación multiactoral que integra cuatro miradas sobre la práctica educativa:</w:t>
      </w:r>
    </w:p>
    <w:p>
      <w:pPr>
        <w:pStyle w:val="Compact"/>
        <w:numPr>
          <w:ilvl w:val="0"/>
          <w:numId w:val="1009"/>
        </w:numPr>
      </w:pPr>
      <w:r>
        <w:rPr>
          <w:i/>
          <w:iCs/>
        </w:rPr>
        <w:t xml:space="preserve">Autoevaluación docente:</w:t>
      </w:r>
      <w:r>
        <w:t xml:space="preserve"> </w:t>
      </w:r>
      <w:r>
        <w:t xml:space="preserve">Espacio reflexivo donde el profesorado examina su propia planificación académica, sus elecciones didácticas y los desafíos emergentes del aula.</w:t>
      </w:r>
    </w:p>
    <w:p>
      <w:pPr>
        <w:pStyle w:val="Compact"/>
        <w:numPr>
          <w:ilvl w:val="0"/>
          <w:numId w:val="1009"/>
        </w:numPr>
      </w:pPr>
      <w:r>
        <w:rPr>
          <w:i/>
          <w:iCs/>
        </w:rPr>
        <w:t xml:space="preserve">Coevaluación de pares:</w:t>
      </w:r>
      <w:r>
        <w:t xml:space="preserve"> </w:t>
      </w:r>
      <w:r>
        <w:t xml:space="preserve">Valoración colegiada realizada por docentes del mismo equipo de cátedra o área disciplinar, focalizada en la pertinencia conceptual, la rigurosidad disciplinar y el trabajo colaborativo. Para las asignaturas de cátedra unipersonal (frecuentes en el Departamento de Administración Pública y en el CCC de RRHH, donde una materia cuenta con un único docente sin auxiliares ni adjuntos), la investigación indagará la viabilidad de instrumentar una</w:t>
      </w:r>
      <w:r>
        <w:t xml:space="preserve"> </w:t>
      </w:r>
      <w:r>
        <w:rPr>
          <w:b/>
          <w:bCs/>
        </w:rPr>
        <w:t xml:space="preserve">coevaluación horizontal por área o tramo curricular</w:t>
      </w:r>
      <w:r>
        <w:t xml:space="preserve"> </w:t>
      </w:r>
      <w:r>
        <w:t xml:space="preserve">(articulando docentes de materias afines del mismo año o ciclo), evitando que el anillo de pares del dispositivo 360° quede vacante.</w:t>
      </w:r>
    </w:p>
    <w:p>
      <w:pPr>
        <w:pStyle w:val="Compact"/>
        <w:numPr>
          <w:ilvl w:val="0"/>
          <w:numId w:val="1009"/>
        </w:numPr>
      </w:pPr>
      <w:r>
        <w:rPr>
          <w:i/>
          <w:iCs/>
        </w:rPr>
        <w:t xml:space="preserve">Heteroevaluación estudiantil:</w:t>
      </w:r>
      <w:r>
        <w:t xml:space="preserve"> </w:t>
      </w:r>
      <w:r>
        <w:t xml:space="preserve">Apreciación realizada por los estudiantes sobre la labor docente cotidiana, la claridad explicativa, la puntualidad en las devoluciones y el acompañamiento pedagógico en entornos presenciales y virtuales.</w:t>
      </w:r>
    </w:p>
    <w:p>
      <w:pPr>
        <w:pStyle w:val="Compact"/>
        <w:numPr>
          <w:ilvl w:val="0"/>
          <w:numId w:val="1009"/>
        </w:numPr>
      </w:pPr>
      <w:r>
        <w:rPr>
          <w:i/>
          <w:iCs/>
        </w:rPr>
        <w:t xml:space="preserve">Apreciación de la dirección departamental:</w:t>
      </w:r>
      <w:r>
        <w:t xml:space="preserve"> </w:t>
      </w:r>
      <w:r>
        <w:t xml:space="preserve">Mirada estratégica orientada a valorar la articulación de la cátedra con los planes de estudio y las prioridades académicas e institucionales del Departamento.</w:t>
      </w:r>
    </w:p>
    <w:p>
      <w:pPr>
        <w:pStyle w:val="FirstParagraph"/>
      </w:pPr>
      <w:r>
        <w:t xml:space="preserve">La potencia del modelo reside en triangular juicios complementarios para identificar brechas entre la autopercepción docente y las percepciones externas, produciendo un informe diagnóstico cualitativo para la mejora sin consecuencias sancionatorias</w:t>
      </w:r>
      <w:r>
        <w:t xml:space="preserve"> </w:t>
      </w:r>
      <w:r>
        <w:t xml:space="preserve">(Obando Freire et al., 2014)</w:t>
      </w:r>
      <w:r>
        <w:t xml:space="preserve">.</w:t>
      </w:r>
    </w:p>
    <w:bookmarkEnd w:id="35"/>
    <w:bookmarkStart w:id="39" w:name="Xd97e498e3d88442da002e9050d2761475d79c3a"/>
    <w:p>
      <w:pPr>
        <w:pStyle w:val="Heading3"/>
        <w:keepNext/>
        <w:spacing w:before="160" w:after="40" w:line="300" w:lineRule="auto"/>
      </w:pPr>
      <w:r>
        <w:rPr>
          <w:rFonts w:ascii="Arial" w:hAnsi="Arial"/>
          <w:b/>
          <w:i/>
          <w:sz w:val="24"/>
        </w:rPr>
        <w:t xml:space="preserve">Gobernanza Universitaria Multinivel, Cogobierno y Negociación Paritaria</w:t>
      </w:r>
    </w:p>
    <w:p>
      <w:pPr>
        <w:pStyle w:val="FirstParagraph"/>
      </w:pPr>
      <w:r>
        <w:t xml:space="preserve">La incorporación de un dispositivo 360° en una universidad pública no constituye un desafío meramente instrumental; requiere comprender la dinámica de la gobernanza universitaria en el Estado argentino:</w:t>
      </w:r>
    </w:p>
    <w:bookmarkStart w:id="36" w:name="X441a00c0d254351c9a332b2c631a0519d33222b"/>
    <w:p>
      <w:pPr>
        <w:pStyle w:val="Heading4"/>
      </w:pPr>
      <w:r>
        <w:t xml:space="preserve">La Perspectiva de la Poligobernanza: El Aporte de Cao y Blutman</w:t>
      </w:r>
    </w:p>
    <w:p>
      <w:pPr>
        <w:pStyle w:val="FirstParagraph"/>
      </w:pPr>
      <w:r>
        <w:t xml:space="preserve">Partiendo del concepto clásico de gobernanza como</w:t>
      </w:r>
      <w:r>
        <w:t xml:space="preserve"> </w:t>
      </w:r>
      <w:r>
        <w:rPr>
          <w:i/>
          <w:iCs/>
        </w:rPr>
        <w:t xml:space="preserve">dirección social compartida</w:t>
      </w:r>
      <w:r>
        <w:t xml:space="preserve"> </w:t>
      </w:r>
      <w:r>
        <w:t xml:space="preserve">(Aguilar Villanueva, 2006)</w:t>
      </w:r>
      <w:r>
        <w:t xml:space="preserve">, el proyecto incorpora los desarrollos de Horacio Cao y Gustavo Blutman</w:t>
      </w:r>
      <w:r>
        <w:t xml:space="preserve"> </w:t>
      </w:r>
      <w:r>
        <w:t xml:space="preserve">(Cao &amp; Blutman, 2021, 2023)</w:t>
      </w:r>
      <w:r>
        <w:t xml:space="preserve"> </w:t>
      </w:r>
      <w:r>
        <w:t xml:space="preserve">en torno a la</w:t>
      </w:r>
      <w:r>
        <w:t xml:space="preserve"> </w:t>
      </w:r>
      <w:r>
        <w:rPr>
          <w:i/>
          <w:iCs/>
        </w:rPr>
        <w:t xml:space="preserve">poligobernanza</w:t>
      </w:r>
      <w:r>
        <w:t xml:space="preserve">. Frente al control burocrático rígido y a las recetas mercantiles de la Nueva Gerencia Pública, la poligobernanza postula un enfoque sociocéntrico y relacional:</w:t>
      </w:r>
    </w:p>
    <w:p>
      <w:pPr>
        <w:pStyle w:val="Compact"/>
        <w:numPr>
          <w:ilvl w:val="0"/>
          <w:numId w:val="1010"/>
        </w:numPr>
      </w:pPr>
      <w:r>
        <w:rPr>
          <w:i/>
          <w:iCs/>
        </w:rPr>
        <w:t xml:space="preserve">El Estado plataforma y la descentralización:</w:t>
      </w:r>
      <w:r>
        <w:t xml:space="preserve"> </w:t>
      </w:r>
      <w:r>
        <w:t xml:space="preserve">Estructuras horizontales e interconectadas que coordinan interacciones entre comunidades y colectivos profesionales</w:t>
      </w:r>
      <w:r>
        <w:t xml:space="preserve"> </w:t>
      </w:r>
      <w:r>
        <w:t xml:space="preserve">(Cao &amp; Blutman, 2021)</w:t>
      </w:r>
      <w:r>
        <w:t xml:space="preserve">. En el CURZAS, esta noción permite conceptualizar la articulación entre la sede central en Viedma y los Nodos Universitarios de la Línea Sur y la Costa Atlántica, concibiendo al 360° como una red horizontal de acompañamiento pedagógico en territorio.</w:t>
      </w:r>
    </w:p>
    <w:p>
      <w:pPr>
        <w:pStyle w:val="Compact"/>
        <w:numPr>
          <w:ilvl w:val="0"/>
          <w:numId w:val="1010"/>
        </w:numPr>
      </w:pPr>
      <w:r>
        <w:rPr>
          <w:i/>
          <w:iCs/>
        </w:rPr>
        <w:t xml:space="preserve">Gestión de la complejidad situada:</w:t>
      </w:r>
      <w:r>
        <w:t xml:space="preserve"> </w:t>
      </w:r>
      <w:r>
        <w:t xml:space="preserve">Metodología relacional que busca gestionar la incertidumbre construyendo soluciones adaptadas a la singularidad institucional</w:t>
      </w:r>
      <w:r>
        <w:t xml:space="preserve"> </w:t>
      </w:r>
      <w:r>
        <w:t xml:space="preserve">(Cao &amp; Blutman, 2023)</w:t>
      </w:r>
      <w:r>
        <w:t xml:space="preserve">. En el CURZAS, implica superar las encuestas genéricas estandarizadas para captar las realidades específicas de cada cátedra y modalidad de cursada.</w:t>
      </w:r>
    </w:p>
    <w:bookmarkEnd w:id="36"/>
    <w:bookmarkStart w:id="37" w:name="X3b7f0cca9a35347f8fa298fc8173bc4a1360520"/>
    <w:p>
      <w:pPr>
        <w:pStyle w:val="Heading4"/>
      </w:pPr>
      <w:r>
        <w:t xml:space="preserve">La Poligobernanza Universitaria en Cuatro Planos Decisionales</w:t>
      </w:r>
    </w:p>
    <w:p>
      <w:pPr>
        <w:pStyle w:val="FirstParagraph"/>
      </w:pPr>
      <w:r>
        <w:t xml:space="preserve">A partir de los marcos de</w:t>
      </w:r>
      <w:r>
        <w:t xml:space="preserve"> </w:t>
      </w:r>
      <w:r>
        <w:t xml:space="preserve">Aguilar Villanueva (2006)</w:t>
      </w:r>
      <w:r>
        <w:t xml:space="preserve"> </w:t>
      </w:r>
      <w:r>
        <w:t xml:space="preserve">y</w:t>
      </w:r>
      <w:r>
        <w:t xml:space="preserve"> </w:t>
      </w:r>
      <w:r>
        <w:t xml:space="preserve">Cao &amp; Blutman (2023)</w:t>
      </w:r>
      <w:r>
        <w:t xml:space="preserve">, la gobernanza institucional del CURZAS-UNCo se estructura en cuatro planos interdependientes:</w:t>
      </w:r>
    </w:p>
    <w:p>
      <w:pPr>
        <w:pStyle w:val="Compact"/>
        <w:numPr>
          <w:ilvl w:val="0"/>
          <w:numId w:val="1011"/>
        </w:numPr>
      </w:pPr>
      <w:r>
        <w:rPr>
          <w:i/>
          <w:iCs/>
        </w:rPr>
        <w:t xml:space="preserve">Nivel Macro (Central):</w:t>
      </w:r>
      <w:r>
        <w:t xml:space="preserve"> </w:t>
      </w:r>
      <w:r>
        <w:t xml:space="preserve">El Consejo Superior y el Rectorado de la UNCo (Neuquén), donde se regulan los marcos estatutarios generales y el régimen de Carrera Docente (Ord. CS N° 0988/2025 y Ord. CS N° 0910/1997).</w:t>
      </w:r>
    </w:p>
    <w:p>
      <w:pPr>
        <w:pStyle w:val="Compact"/>
        <w:numPr>
          <w:ilvl w:val="0"/>
          <w:numId w:val="1011"/>
        </w:numPr>
      </w:pPr>
      <w:r>
        <w:rPr>
          <w:i/>
          <w:iCs/>
        </w:rPr>
        <w:t xml:space="preserve">Nivel Meso (Regional):</w:t>
      </w:r>
      <w:r>
        <w:t xml:space="preserve"> </w:t>
      </w:r>
      <w:r>
        <w:t xml:space="preserve">El Consejo Directivo del CURZAS y la Dirección del Departamento de Administración Pública (Viedma), responsables de la coordinación operativa de las carreras y la definición de planes anuales de capacitación docente (Art. 76).</w:t>
      </w:r>
    </w:p>
    <w:p>
      <w:pPr>
        <w:pStyle w:val="Compact"/>
        <w:numPr>
          <w:ilvl w:val="0"/>
          <w:numId w:val="1011"/>
        </w:numPr>
      </w:pPr>
      <w:r>
        <w:rPr>
          <w:i/>
          <w:iCs/>
        </w:rPr>
        <w:t xml:space="preserve">Nivel Micro (Territorial):</w:t>
      </w:r>
      <w:r>
        <w:t xml:space="preserve"> </w:t>
      </w:r>
      <w:r>
        <w:t xml:space="preserve">La Red Territorial de Nodos Universitarios (10 localidades distribuidas en la Línea Sur, Valle Medio y Costa Atlántica), donde las prácticas híbridas demandan acompañamiento tutorial virtual específico</w:t>
      </w:r>
      <w:r>
        <w:t xml:space="preserve"> </w:t>
      </w:r>
      <w:r>
        <w:t xml:space="preserve">(Consejo Directivo del CURZAS, 2022)</w:t>
      </w:r>
      <w:r>
        <w:t xml:space="preserve">.</w:t>
      </w:r>
    </w:p>
    <w:p>
      <w:pPr>
        <w:pStyle w:val="Compact"/>
        <w:numPr>
          <w:ilvl w:val="0"/>
          <w:numId w:val="1011"/>
        </w:numPr>
      </w:pPr>
      <w:r>
        <w:rPr>
          <w:i/>
          <w:iCs/>
        </w:rPr>
        <w:t xml:space="preserve">Dimensión Transversal Sociolaboral:</w:t>
      </w:r>
      <w:r>
        <w:t xml:space="preserve"> </w:t>
      </w:r>
      <w:r>
        <w:t xml:space="preserve">La representación paritaria docente (ADUNC), encargada de salvaguardar las condiciones laborales y la estabilidad en el marco del Convenio Colectivo de Trabajo (Decreto N° 1246/2015).</w:t>
      </w:r>
    </w:p>
    <w:bookmarkEnd w:id="37"/>
    <w:bookmarkStart w:id="38" w:name="X06fb08f7e444eef45b7a0765efa6c79209c7fab"/>
    <w:p>
      <w:pPr>
        <w:pStyle w:val="Heading4"/>
      </w:pPr>
      <w:r>
        <w:t xml:space="preserve">Poder Compartido y Capacidades Estatales: Matus y Oszlak</w:t>
      </w:r>
    </w:p>
    <w:p>
      <w:pPr>
        <w:pStyle w:val="FirstParagraph"/>
      </w:pPr>
      <w:r>
        <w:t xml:space="preserve">Al interior de esta trama convergen los aportes conceptuales de Carlos Matus y Oscar Oszlak:</w:t>
      </w:r>
    </w:p>
    <w:p>
      <w:pPr>
        <w:pStyle w:val="Compact"/>
        <w:numPr>
          <w:ilvl w:val="0"/>
          <w:numId w:val="1012"/>
        </w:numPr>
      </w:pPr>
      <w:r>
        <w:rPr>
          <w:i/>
          <w:iCs/>
        </w:rPr>
        <w:t xml:space="preserve">Carlos Matus y la viabilidad en arenas de poder compartido:</w:t>
      </w:r>
      <w:r>
        <w:t xml:space="preserve"> </w:t>
      </w:r>
      <w:r>
        <w:t xml:space="preserve">Desde la Planificación Estratégica Situacional,</w:t>
      </w:r>
      <w:r>
        <w:t xml:space="preserve"> </w:t>
      </w:r>
      <w:r>
        <w:t xml:space="preserve">Matus (1993)</w:t>
      </w:r>
      <w:r>
        <w:t xml:space="preserve"> </w:t>
      </w:r>
      <w:r>
        <w:t xml:space="preserve">demuestra que en organizaciones complejas ningún actor concentra el monopolio del poder decisional. En el CURZAS, un modelo de retroalimentación solo es viable si se construye sobre variables de control compartido, concertando con la representación docente reglas claras de voluntariedad, confidencialidad y desvinculación de los jurados de permanencia sumativa.</w:t>
      </w:r>
    </w:p>
    <w:p>
      <w:pPr>
        <w:pStyle w:val="Compact"/>
        <w:numPr>
          <w:ilvl w:val="0"/>
          <w:numId w:val="1012"/>
        </w:numPr>
      </w:pPr>
      <w:r>
        <w:rPr>
          <w:i/>
          <w:iCs/>
        </w:rPr>
        <w:t xml:space="preserve">Oscar Oszlak y las capacidades estatales en la era digital:</w:t>
      </w:r>
      <w:r>
        <w:t xml:space="preserve"> </w:t>
      </w:r>
      <w:r>
        <w:t xml:space="preserve">Oszlak (2020)</w:t>
      </w:r>
      <w:r>
        <w:t xml:space="preserve"> </w:t>
      </w:r>
      <w:r>
        <w:t xml:space="preserve">fundamenta que las plataformas digitales institucionales (Moodle y SIU-Guaraní) deben ponerse al servicio del desarrollo de capacidades de gestión de personas</w:t>
      </w:r>
      <w:r>
        <w:t xml:space="preserve"> </w:t>
      </w:r>
      <w:r>
        <w:t xml:space="preserve">(Longo, 2006)</w:t>
      </w:r>
      <w:r>
        <w:t xml:space="preserve">, evitando la fiscalización tecno-burocrática y garantizando el procesamiento anónimo de información para nutrir la capacitación continua.</w:t>
      </w:r>
    </w:p>
    <w:bookmarkEnd w:id="38"/>
    <w:bookmarkEnd w:id="39"/>
    <w:bookmarkStart w:id="40" w:name="X120ce32e3a55bf3a66f31e165867e06e6d73a60"/>
    <w:p>
      <w:pPr>
        <w:pStyle w:val="Heading3"/>
        <w:keepNext/>
        <w:spacing w:before="160" w:after="40" w:line="300" w:lineRule="auto"/>
      </w:pPr>
      <w:r>
        <w:rPr>
          <w:rFonts w:ascii="Arial" w:hAnsi="Arial"/>
          <w:b/>
          <w:i/>
          <w:sz w:val="24"/>
        </w:rPr>
        <w:t xml:space="preserve">Precisión Categorial:</w:t>
      </w:r>
      <w:r>
        <w:rPr>
          <w:rFonts w:ascii="Arial" w:hAnsi="Arial"/>
          <w:b/>
          <w:i/>
          <w:sz w:val="24"/>
        </w:rPr>
        <w:t xml:space="preserve"> </w:t>
      </w:r>
      <w:r>
        <w:rPr>
          <w:rFonts w:ascii="Arial" w:hAnsi="Arial"/>
          <w:b/>
          <w:i/>
          <w:sz w:val="24"/>
        </w:rPr>
        <w:t xml:space="preserve">“Claustro”</w:t>
      </w:r>
      <w:r>
        <w:rPr>
          <w:rFonts w:ascii="Arial" w:hAnsi="Arial"/>
          <w:b/>
          <w:i/>
          <w:sz w:val="24"/>
        </w:rPr>
        <w:t xml:space="preserve"> </w:t>
      </w:r>
      <w:r>
        <w:rPr>
          <w:rFonts w:ascii="Arial" w:hAnsi="Arial"/>
          <w:b/>
          <w:i/>
          <w:sz w:val="24"/>
        </w:rPr>
        <w:t xml:space="preserve">frente a</w:t>
      </w:r>
      <w:r>
        <w:rPr>
          <w:rFonts w:ascii="Arial" w:hAnsi="Arial"/>
          <w:b/>
          <w:i/>
          <w:sz w:val="24"/>
        </w:rPr>
        <w:t xml:space="preserve"> </w:t>
      </w:r>
      <w:r>
        <w:rPr>
          <w:rFonts w:ascii="Arial" w:hAnsi="Arial"/>
          <w:b/>
          <w:i/>
          <w:sz w:val="24"/>
        </w:rPr>
        <w:t xml:space="preserve">“Actores Situados”</w:t>
      </w:r>
    </w:p>
    <w:p>
      <w:pPr>
        <w:pStyle w:val="FirstParagraph"/>
      </w:pPr>
      <w:r>
        <w:t xml:space="preserve">Para asegurar precisión analítica, la investigación distingue explícitamente entre dos categorías conceptuales:</w:t>
      </w:r>
    </w:p>
    <w:p>
      <w:pPr>
        <w:pStyle w:val="Compact"/>
        <w:numPr>
          <w:ilvl w:val="0"/>
          <w:numId w:val="1013"/>
        </w:numPr>
      </w:pPr>
      <w:r>
        <w:rPr>
          <w:i/>
          <w:iCs/>
        </w:rPr>
        <w:t xml:space="preserve">Claustros (categoría jurídico-institucional):</w:t>
      </w:r>
      <w:r>
        <w:t xml:space="preserve"> </w:t>
      </w:r>
      <w:r>
        <w:t xml:space="preserve">Estamentos de representación legal reglamentados por la Ley N° 24.521</w:t>
      </w:r>
      <w:r>
        <w:t xml:space="preserve"> </w:t>
      </w:r>
      <w:r>
        <w:t xml:space="preserve">(Ley N° 24.521 de Educación Superior, 1995)</w:t>
      </w:r>
      <w:r>
        <w:t xml:space="preserve"> </w:t>
      </w:r>
      <w:r>
        <w:t xml:space="preserve">y el Estatuto de la UNCo (docente, estudiantil, nodocente y graduados), cuya función reside en estructurar el cogobierno y la deliberación política en cuerpos colegiados.</w:t>
      </w:r>
    </w:p>
    <w:p>
      <w:pPr>
        <w:pStyle w:val="Compact"/>
        <w:numPr>
          <w:ilvl w:val="0"/>
          <w:numId w:val="1013"/>
        </w:numPr>
      </w:pPr>
      <w:r>
        <w:rPr>
          <w:i/>
          <w:iCs/>
        </w:rPr>
        <w:t xml:space="preserve">Actores situados (categoría analítica de la investigación):</w:t>
      </w:r>
      <w:r>
        <w:t xml:space="preserve"> </w:t>
      </w:r>
      <w:r>
        <w:t xml:space="preserve">Sujetos concretos que experimentan cotidianamente la práctica formativa: docentes de cátedra y tutores de nodos, estudiantes de diversas trayectorias, equipos de conducción académica y representantes gremiales paritarios. La evaluación formativa interpela a los actores en sus dinámicas reales de enseñanza y aprendizaje, más allá de la abstracción de los estamentos jurídicos formales.</w:t>
      </w:r>
    </w:p>
    <w:bookmarkEnd w:id="40"/>
    <w:bookmarkStart w:id="41" w:name="Xe4682b0903028e640f5cdf6dae8165b743875f4"/>
    <w:p>
      <w:pPr>
        <w:pStyle w:val="Heading3"/>
        <w:keepNext/>
        <w:spacing w:before="160" w:after="40" w:line="300" w:lineRule="auto"/>
      </w:pPr>
      <w:r>
        <w:rPr>
          <w:rFonts w:ascii="Arial" w:hAnsi="Arial"/>
          <w:b/>
          <w:i/>
          <w:sz w:val="24"/>
        </w:rPr>
        <w:t xml:space="preserve">Las Condiciones de Viabilidad como Hipótesis de Indagación Abierta</w:t>
      </w:r>
    </w:p>
    <w:p>
      <w:pPr>
        <w:pStyle w:val="FirstParagraph"/>
      </w:pPr>
      <w:r>
        <w:t xml:space="preserve">La investigación evita postular deductivamente las condiciones definitivas de viabilidad. Por el contrario, se formulan como hipótesis preliminares abiertas a contrastación empírica: corresponderá al trabajo de campo relevar en qué medida las garantías de voluntariedad, anonimato y finalidad formativa son valoradas como indispensables por la comunidad del CURZAS, o si emergen otros condicionantes culturales (como la visibilidad en cátedras unipersonales) o técnicos (fatiga evaluativa) que deban considerarse en la formulación de los lineamientos finales.</w:t>
      </w:r>
    </w:p>
    <w:bookmarkEnd w:id="41"/>
    <w:bookmarkEnd w:id="42"/>
    <w:bookmarkStart w:id="47" w:name="X77155299af2def8333549b16a82948e9810ead2"/>
    <w:p>
      <w:pPr>
        <w:pStyle w:val="Heading2"/>
        <w:keepNext/>
        <w:spacing w:before="200" w:after="80" w:line="300" w:lineRule="auto"/>
      </w:pPr>
      <w:r>
        <w:rPr>
          <w:rFonts w:ascii="Arial" w:hAnsi="Arial"/>
          <w:b/>
          <w:sz w:val="24"/>
        </w:rPr>
        <w:t xml:space="preserve">Antecedentes: Estado del Arte de la Cuestión</w:t>
      </w:r>
    </w:p>
    <w:p>
      <w:pPr>
        <w:pStyle w:val="FirstParagraph"/>
      </w:pPr>
      <w:r>
        <w:t xml:space="preserve">Conforme a las pautas metodológicas de</w:t>
      </w:r>
      <w:r>
        <w:t xml:space="preserve"> </w:t>
      </w:r>
      <w:r>
        <w:t xml:space="preserve">Torraco (2016)</w:t>
      </w:r>
      <w:r>
        <w:t xml:space="preserve"> </w:t>
      </w:r>
      <w:r>
        <w:t xml:space="preserve">y</w:t>
      </w:r>
      <w:r>
        <w:t xml:space="preserve"> </w:t>
      </w:r>
      <w:r>
        <w:t xml:space="preserve">Jiménez Becerra (2008)</w:t>
      </w:r>
      <w:r>
        <w:t xml:space="preserve">, el relevamiento de antecedentes sistematiza la evidencia empírica acumulada y delimita la vacancia de conocimiento que justifica el proyecto, organizándose en tres escalas geográficas:</w:t>
      </w:r>
    </w:p>
    <w:bookmarkStart w:id="43" w:name="antecedentes-internacionales"/>
    <w:p>
      <w:pPr>
        <w:pStyle w:val="Heading3"/>
        <w:keepNext/>
        <w:spacing w:before="160" w:after="40" w:line="300" w:lineRule="auto"/>
      </w:pPr>
      <w:r>
        <w:rPr>
          <w:rFonts w:ascii="Arial" w:hAnsi="Arial"/>
          <w:b/>
          <w:i/>
          <w:sz w:val="24"/>
        </w:rPr>
        <w:t xml:space="preserve">Antecedentes Internacionales</w:t>
      </w:r>
    </w:p>
    <w:p>
      <w:pPr>
        <w:pStyle w:val="Compact"/>
        <w:numPr>
          <w:ilvl w:val="0"/>
          <w:numId w:val="1014"/>
        </w:numPr>
      </w:pPr>
      <w:r>
        <w:rPr>
          <w:b/>
          <w:bCs/>
        </w:rPr>
        <w:t xml:space="preserve">Sifuentes Ocegueda et al. (2016)</w:t>
      </w:r>
      <w:r>
        <w:t xml:space="preserve"> </w:t>
      </w:r>
      <w:r>
        <w:t xml:space="preserve">evaluaron en México la aceptación de un instrumento 360° en docentes de educación superior mediante encuestas a profesores, directivos y alumnos. Concluyeron que el modelo alcanza una aceptación docente superior al 85% siempre que se asegure el estricto anonimato, la entrega de reportes individuales y la ausencia de sanciones administrativas.</w:t>
      </w:r>
    </w:p>
    <w:p>
      <w:pPr>
        <w:pStyle w:val="Compact"/>
        <w:numPr>
          <w:ilvl w:val="0"/>
          <w:numId w:val="1014"/>
        </w:numPr>
      </w:pPr>
      <w:r>
        <w:rPr>
          <w:b/>
          <w:bCs/>
        </w:rPr>
        <w:t xml:space="preserve">Obando Freire et al. (2014)</w:t>
      </w:r>
      <w:r>
        <w:t xml:space="preserve"> </w:t>
      </w:r>
      <w:r>
        <w:t xml:space="preserve">investigaron en Cuba un sistema de evaluación 360° articulado con portafolios electrónicos. Demostraron que la triangulación multiactoral mitiga sesgos de complacencia o desquite propios de las encuestas estudiantiles aisladas y estimula la autorreflexión docente, evidenciando la viabilidad técnica de procesar evaluaciones multidireccionales en entornos virtuales.</w:t>
      </w:r>
    </w:p>
    <w:p>
      <w:pPr>
        <w:pStyle w:val="Compact"/>
        <w:numPr>
          <w:ilvl w:val="0"/>
          <w:numId w:val="1014"/>
        </w:numPr>
      </w:pPr>
      <w:r>
        <w:rPr>
          <w:b/>
          <w:bCs/>
        </w:rPr>
        <w:t xml:space="preserve">Reyes &amp; Díaz (2020)</w:t>
      </w:r>
      <w:r>
        <w:t xml:space="preserve"> </w:t>
      </w:r>
      <w:r>
        <w:t xml:space="preserve">examinaron mediante metodología mixta el sistema de evaluación docente de una universidad pública mexicana. Constataron que las evaluaciones sumativas generan un cumplimiento meramente formal y desconfianza en el profesorado, advirtiendo que toda innovación evaluativa en la universidad pública requiere legitimación gremial y orientación explícita a la mejora formativa.</w:t>
      </w:r>
    </w:p>
    <w:p>
      <w:pPr>
        <w:pStyle w:val="Compact"/>
        <w:numPr>
          <w:ilvl w:val="0"/>
          <w:numId w:val="1014"/>
        </w:numPr>
      </w:pPr>
      <w:r>
        <w:rPr>
          <w:b/>
          <w:bCs/>
        </w:rPr>
        <w:t xml:space="preserve">Alvarado &amp; Morales (2019)</w:t>
      </w:r>
      <w:r>
        <w:t xml:space="preserve"> </w:t>
      </w:r>
      <w:r>
        <w:t xml:space="preserve">desarrollaron en la UNAM una propuesta 360° que pondera docencia, tutoría y gestión institucional, aportando criterios para operacionalizar cuestionarios estructurados y articularlos con planes de actualización pedagógica.</w:t>
      </w:r>
    </w:p>
    <w:bookmarkEnd w:id="43"/>
    <w:bookmarkStart w:id="44" w:name="antecedentes-nacionales"/>
    <w:p>
      <w:pPr>
        <w:pStyle w:val="Heading3"/>
        <w:keepNext/>
        <w:spacing w:before="160" w:after="40" w:line="300" w:lineRule="auto"/>
      </w:pPr>
      <w:r>
        <w:rPr>
          <w:rFonts w:ascii="Arial" w:hAnsi="Arial"/>
          <w:b/>
          <w:i/>
          <w:sz w:val="24"/>
        </w:rPr>
        <w:t xml:space="preserve">Antecedentes Nacionales</w:t>
      </w:r>
    </w:p>
    <w:p>
      <w:pPr>
        <w:pStyle w:val="Compact"/>
        <w:numPr>
          <w:ilvl w:val="0"/>
          <w:numId w:val="1015"/>
        </w:numPr>
      </w:pPr>
      <w:r>
        <w:rPr>
          <w:b/>
          <w:bCs/>
        </w:rPr>
        <w:t xml:space="preserve">Marquina (2012)</w:t>
      </w:r>
      <w:r>
        <w:t xml:space="preserve"> </w:t>
      </w:r>
      <w:r>
        <w:t xml:space="preserve">analizó cualitativamente las tensiones de la profesión académica en universidades públicas argentinas, constatando que los mecanismos tradicionales de permanencia suelen privilegiar la acreditación de posgrados y la producción científica en detrimento de la calidad didáctica en las aulas de grado. Este hallazgo fundamenta la necesidad de dispositivos orientados específicamente a la retroalimentación de la enseñanza.</w:t>
      </w:r>
    </w:p>
    <w:p>
      <w:pPr>
        <w:pStyle w:val="Compact"/>
        <w:numPr>
          <w:ilvl w:val="0"/>
          <w:numId w:val="1015"/>
        </w:numPr>
      </w:pPr>
      <w:r>
        <w:rPr>
          <w:b/>
          <w:bCs/>
        </w:rPr>
        <w:t xml:space="preserve">Pérez et al. (2021)</w:t>
      </w:r>
      <w:r>
        <w:t xml:space="preserve"> </w:t>
      </w:r>
      <w:r>
        <w:t xml:space="preserve">evaluaron la aplicación de la metodología 360° en tutorías presenciales y virtuales de universidades públicas. Concluyeron que el modelo multidireccional capta competencias pedagógicas y tutoriales (comunicación asertiva, acompañamiento digital) con mayor precisión que las rúbricas estandarizadas, aportando un antecedente relevante para entornos de enseñanza híbridos.</w:t>
      </w:r>
    </w:p>
    <w:bookmarkEnd w:id="44"/>
    <w:bookmarkStart w:id="45" w:name="Xd9ab4c3fa3d27cdc1a70efec5c56f421e0bf059"/>
    <w:p>
      <w:pPr>
        <w:pStyle w:val="Heading3"/>
        <w:keepNext/>
        <w:spacing w:before="160" w:after="40" w:line="300" w:lineRule="auto"/>
      </w:pPr>
      <w:r>
        <w:rPr>
          <w:rFonts w:ascii="Arial" w:hAnsi="Arial"/>
          <w:b/>
          <w:i/>
          <w:sz w:val="24"/>
        </w:rPr>
        <w:t xml:space="preserve">Antecedentes Regionales e Institucionales (UNCo y CURZAS)</w:t>
      </w:r>
    </w:p>
    <w:p>
      <w:pPr>
        <w:pStyle w:val="Compact"/>
        <w:numPr>
          <w:ilvl w:val="0"/>
          <w:numId w:val="1016"/>
        </w:numPr>
      </w:pPr>
      <w:r>
        <w:rPr>
          <w:b/>
          <w:bCs/>
        </w:rPr>
        <w:t xml:space="preserve">Estatuto UNCo (Ordenanza CS N° 0988/2025):</w:t>
      </w:r>
      <w:r>
        <w:t xml:space="preserve"> </w:t>
      </w:r>
      <w:r>
        <w:t xml:space="preserve">Define al CURZAS como Complejo Universitario Regional y consolida en su Título X la Carrera Docente mediante informes anuales (Art. 74) y evaluaciones cuatrienales de permanencia ante jurados externos (Art. 75), instituyendo en el Art. 76 la formulación de programas anuales de capacitación departamental</w:t>
      </w:r>
      <w:r>
        <w:t xml:space="preserve"> </w:t>
      </w:r>
      <w:r>
        <w:t xml:space="preserve">(Universidad Nacional del Comahue, 2025)</w:t>
      </w:r>
      <w:r>
        <w:t xml:space="preserve">.</w:t>
      </w:r>
    </w:p>
    <w:p>
      <w:pPr>
        <w:pStyle w:val="Compact"/>
        <w:numPr>
          <w:ilvl w:val="0"/>
          <w:numId w:val="1016"/>
        </w:numPr>
      </w:pPr>
      <w:r>
        <w:rPr>
          <w:b/>
          <w:bCs/>
        </w:rPr>
        <w:t xml:space="preserve">Reglamento de Carrera Docente (Ordenanza CS N° 0910/1997 y modif.):</w:t>
      </w:r>
      <w:r>
        <w:t xml:space="preserve"> </w:t>
      </w:r>
      <w:r>
        <w:t xml:space="preserve">Norma los procedimientos de presentación de informes docentes y encuestas estudiantiles en armonía con el Convenio Colectivo de Trabajo Docente (Decreto N° 1246/2015)</w:t>
      </w:r>
      <w:r>
        <w:t xml:space="preserve"> </w:t>
      </w:r>
      <w:r>
        <w:t xml:space="preserve">(Decreto N° 1246/2015. Convenio Colectivo de Trabajo para los Docentes de las Instituciones Universitarias Nacionales, 2015; Universidad Nacional del Comahue, 1997)</w:t>
      </w:r>
      <w:r>
        <w:t xml:space="preserve">. Si bien asegura solvencia jurídica en la acreditación de permanencia, los registros evidencian la ausencia de circuitos sistemáticos de retroalimentación formativa y confidencial.</w:t>
      </w:r>
    </w:p>
    <w:p>
      <w:pPr>
        <w:pStyle w:val="Compact"/>
        <w:numPr>
          <w:ilvl w:val="0"/>
          <w:numId w:val="1016"/>
        </w:numPr>
      </w:pPr>
      <w:r>
        <w:rPr>
          <w:b/>
          <w:bCs/>
        </w:rPr>
        <w:t xml:space="preserve">Red de Nodos y Docencia Híbrida (Resolución CD-CURZA N° 196/2022):</w:t>
      </w:r>
      <w:r>
        <w:t xml:space="preserve"> </w:t>
      </w:r>
      <w:r>
        <w:t xml:space="preserve">Valida las mediaciones pedagógicas híbridas en las 10 localidades que integran la red territorial en la Línea Sur, Valle Medio y Costa Atlántica rionegrina</w:t>
      </w:r>
      <w:r>
        <w:t xml:space="preserve"> </w:t>
      </w:r>
      <w:r>
        <w:t xml:space="preserve">(Consejo Directivo del CURZAS, 2022)</w:t>
      </w:r>
      <w:r>
        <w:t xml:space="preserve">, demandando competencias de tutoría virtual que actualmente no son ponderadas formativamente por los instrumentos evaluativos vigentes.</w:t>
      </w:r>
    </w:p>
    <w:bookmarkEnd w:id="45"/>
    <w:bookmarkStart w:id="46" w:name="Xdd2f1928b167b346feb3db91e0e80e813fe5a54"/>
    <w:p>
      <w:pPr>
        <w:pStyle w:val="Heading3"/>
        <w:keepNext/>
        <w:spacing w:before="160" w:after="40" w:line="300" w:lineRule="auto"/>
      </w:pPr>
      <w:r>
        <w:rPr>
          <w:rFonts w:ascii="Arial" w:hAnsi="Arial"/>
          <w:b/>
          <w:i/>
          <w:sz w:val="24"/>
        </w:rPr>
        <w:t xml:space="preserve">Síntesis Integradora y Vacancia de la Investigación</w:t>
      </w:r>
    </w:p>
    <w:p>
      <w:pPr>
        <w:pStyle w:val="FirstParagraph"/>
      </w:pPr>
      <w:r>
        <w:t xml:space="preserve">El análisis de antecedentes revela que, si bien la literatura ha explorado la validez métrica del modelo 360° en ámbitos privados y se han estudiado las dinámicas de la carrera académica en grandes centros urbanos,</w:t>
      </w:r>
      <w:r>
        <w:t xml:space="preserve"> </w:t>
      </w:r>
      <w:r>
        <w:rPr>
          <w:b/>
          <w:bCs/>
        </w:rPr>
        <w:t xml:space="preserve">no se identifican investigaciones empíricas focalizadas en la factibilidad integral (normativa, técnica, organizacional y de gobernanza) de un circuito formativo 360° en una unidad académica pública, descentralizada y patagónica, gobernada por cuerpos colegiados y con presencia territorial bajo modalidades híbridas de enseñanza</w:t>
      </w:r>
      <w:r>
        <w:t xml:space="preserve">. En dicha vacancia se inscribe el aporte del presente proyecto.</w:t>
      </w:r>
    </w:p>
    <w:p>
      <w:r>
        <w:br w:type="page"/>
      </w:r>
    </w:p>
    <w:bookmarkEnd w:id="46"/>
    <w:bookmarkEnd w:id="47"/>
    <w:bookmarkEnd w:id="48"/>
    <w:bookmarkStart w:id="67" w:name="X939220d599d9f2e6ec6ec3fcbd9b7f02ab2b703"/>
    <w:p>
      <w:pPr>
        <w:pStyle w:val="Heading1"/>
        <w:keepNext/>
        <w:spacing w:before="240" w:after="120" w:line="300" w:lineRule="auto"/>
      </w:pPr>
      <w:r>
        <w:rPr>
          <w:rFonts w:ascii="Arial" w:hAnsi="Arial"/>
          <w:b/>
          <w:sz w:val="28"/>
        </w:rPr>
        <w:t xml:space="preserve">Tercera parte de la estructura del Proyecto de investigación de TFG</w:t>
      </w:r>
    </w:p>
    <w:bookmarkStart w:id="60" w:name="X22c16082f4fb76f7871fc247d0300beb3151369"/>
    <w:p>
      <w:pPr>
        <w:pStyle w:val="Heading2"/>
        <w:keepNext/>
        <w:spacing w:before="200" w:after="80" w:line="300" w:lineRule="auto"/>
      </w:pPr>
      <w:r>
        <w:rPr>
          <w:rFonts w:ascii="Arial" w:hAnsi="Arial"/>
          <w:b/>
          <w:sz w:val="24"/>
        </w:rPr>
        <w:t xml:space="preserve">Metodología / Materiales, Técnicas y Métodos</w:t>
      </w:r>
    </w:p>
    <w:p>
      <w:pPr>
        <w:pStyle w:val="FirstParagraph"/>
      </w:pPr>
      <w:r>
        <w:t xml:space="preserve">Este capítulo define el diseño metodológico, la muestra, los instrumentos de recolección y los procedimientos analíticos para evaluar las condiciones de factibilidad en el Departamento de Administración Pública del CURZAS-UNCo.</w:t>
      </w:r>
    </w:p>
    <w:bookmarkStart w:id="49" w:name="enfoque-y-diseño-de-la-investigación"/>
    <w:p>
      <w:pPr>
        <w:pStyle w:val="Heading3"/>
        <w:keepNext/>
        <w:spacing w:before="160" w:after="40" w:line="300" w:lineRule="auto"/>
      </w:pPr>
      <w:r>
        <w:rPr>
          <w:rFonts w:ascii="Arial" w:hAnsi="Arial"/>
          <w:b/>
          <w:i/>
          <w:sz w:val="24"/>
        </w:rPr>
        <w:t xml:space="preserve">Enfoque y Diseño de la Investigación</w:t>
      </w:r>
    </w:p>
    <w:p>
      <w:pPr>
        <w:pStyle w:val="FirstParagraph"/>
      </w:pPr>
      <w:r>
        <w:t xml:space="preserve">La investigación adopta un enfoque metodológico mixto con predominio cualitativo y un componente cuantitativo descriptivo (</w:t>
      </w:r>
      <m:oMath>
        <m:r>
          <m:t>C</m:t>
        </m:r>
        <m:r>
          <m:t>U</m:t>
        </m:r>
        <m:r>
          <m:t>A</m:t>
        </m:r>
        <m:r>
          <m:t>L</m:t>
        </m:r>
        <m:r>
          <m:rPr>
            <m:sty m:val="p"/>
          </m:rPr>
          <m:t>→</m:t>
        </m:r>
        <m:r>
          <m:t>c</m:t>
        </m:r>
        <m:r>
          <m:t>u</m:t>
        </m:r>
        <m:r>
          <m:t>a</m:t>
        </m:r>
        <m:r>
          <m:t>n</m:t>
        </m:r>
      </m:oMath>
      <w:r>
        <w:t xml:space="preserve">)</w:t>
      </w:r>
      <w:r>
        <w:t xml:space="preserve"> </w:t>
      </w:r>
      <w:r>
        <w:t xml:space="preserve">(Hernández Sampieri et al., 2014)</w:t>
      </w:r>
      <w:r>
        <w:t xml:space="preserve">. La prioridad cualitativa permite profundizar en las percepciones, disposiciones y condiciones de acuerdo de los actores universitarios, mientras que el componente cuantitativo aporta un sondeo estructurado sobre las dimensiones específicas de viabilidad.</w:t>
      </w:r>
    </w:p>
    <w:p>
      <w:pPr>
        <w:pStyle w:val="BodyText"/>
      </w:pPr>
      <w:r>
        <w:t xml:space="preserve">El estudio presenta un alcance descriptivo, exploratorio y propositivo:</w:t>
      </w:r>
    </w:p>
    <w:p>
      <w:pPr>
        <w:pStyle w:val="Compact"/>
        <w:numPr>
          <w:ilvl w:val="0"/>
          <w:numId w:val="1017"/>
        </w:numPr>
      </w:pPr>
      <w:r>
        <w:rPr>
          <w:i/>
          <w:iCs/>
        </w:rPr>
        <w:t xml:space="preserve">Descriptivo:</w:t>
      </w:r>
      <w:r>
        <w:t xml:space="preserve"> </w:t>
      </w:r>
      <w:r>
        <w:t xml:space="preserve">Sistematiza las normas y prácticas de evaluación docente vigentes en el Departamento.</w:t>
      </w:r>
    </w:p>
    <w:p>
      <w:pPr>
        <w:pStyle w:val="Compact"/>
        <w:numPr>
          <w:ilvl w:val="0"/>
          <w:numId w:val="1017"/>
        </w:numPr>
      </w:pPr>
      <w:r>
        <w:rPr>
          <w:i/>
          <w:iCs/>
        </w:rPr>
        <w:t xml:space="preserve">Exploratorio:</w:t>
      </w:r>
      <w:r>
        <w:t xml:space="preserve"> </w:t>
      </w:r>
      <w:r>
        <w:t xml:space="preserve">Indaga la viabilidad de un modelo 360° en una unidad académica pública con cogobierno y modalidades híbridas en territorio.</w:t>
      </w:r>
    </w:p>
    <w:p>
      <w:pPr>
        <w:pStyle w:val="Compact"/>
        <w:numPr>
          <w:ilvl w:val="0"/>
          <w:numId w:val="1017"/>
        </w:numPr>
      </w:pPr>
      <w:r>
        <w:rPr>
          <w:i/>
          <w:iCs/>
        </w:rPr>
        <w:t xml:space="preserve">Propositivo:</w:t>
      </w:r>
      <w:r>
        <w:t xml:space="preserve"> </w:t>
      </w:r>
      <w:r>
        <w:t xml:space="preserve">Formula lineamientos orientativos para una eventual aplicación formativa a partir de los condicionantes empíricos relevados.</w:t>
      </w:r>
    </w:p>
    <w:p>
      <w:pPr>
        <w:pStyle w:val="FirstParagraph"/>
      </w:pPr>
      <w:r>
        <w:t xml:space="preserve">El diseño corresponde a un estudio de caso situado</w:t>
      </w:r>
      <w:r>
        <w:t xml:space="preserve"> </w:t>
      </w:r>
      <w:r>
        <w:t xml:space="preserve">(Flyvbjerg, 2005; Giménez, 2012)</w:t>
      </w:r>
      <w:r>
        <w:t xml:space="preserve">, de corte no experimental y transversal</w:t>
      </w:r>
      <w:r>
        <w:t xml:space="preserve"> </w:t>
      </w:r>
      <w:r>
        <w:t xml:space="preserve">(Hernández Sampieri et al., 2014)</w:t>
      </w:r>
      <w:r>
        <w:t xml:space="preserve">, delimitado temporalmente al ciclo lectivo 2027.</w:t>
      </w:r>
    </w:p>
    <w:bookmarkEnd w:id="49"/>
    <w:bookmarkStart w:id="54" w:name="población-muestra-y-unidades-de-análisis"/>
    <w:p>
      <w:pPr>
        <w:pStyle w:val="Heading3"/>
        <w:keepNext/>
        <w:spacing w:before="160" w:after="40" w:line="300" w:lineRule="auto"/>
      </w:pPr>
      <w:r>
        <w:rPr>
          <w:rFonts w:ascii="Arial" w:hAnsi="Arial"/>
          <w:b/>
          <w:i/>
          <w:sz w:val="24"/>
        </w:rPr>
        <w:t xml:space="preserve">Población, Muestra y Unidades de Análisis</w:t>
      </w:r>
    </w:p>
    <w:p>
      <w:pPr>
        <w:pStyle w:val="FirstParagraph"/>
      </w:pPr>
      <w:r>
        <w:t xml:space="preserve">Conforme a las pautas metodológicas de la cátedra y a los criterios de</w:t>
      </w:r>
      <w:r>
        <w:t xml:space="preserve"> </w:t>
      </w:r>
      <w:r>
        <w:t xml:space="preserve">Sautu (2005)</w:t>
      </w:r>
      <w:r>
        <w:t xml:space="preserve"> </w:t>
      </w:r>
      <w:r>
        <w:t xml:space="preserve">y</w:t>
      </w:r>
      <w:r>
        <w:t xml:space="preserve"> </w:t>
      </w:r>
      <w:r>
        <w:t xml:space="preserve">Hernández Sampieri et al. (2014)</w:t>
      </w:r>
      <w:r>
        <w:t xml:space="preserve">, los componentes empíricos del estudio se definen de manera taxativa y cuantitativamente delimitada:</w:t>
      </w:r>
    </w:p>
    <w:bookmarkStart w:id="50" w:name="población-o-universo-de-estudio-n"/>
    <w:p>
      <w:pPr>
        <w:pStyle w:val="Heading4"/>
      </w:pPr>
      <w:r>
        <w:t xml:space="preserve">Población o Universo de Estudio (</w:t>
      </w:r>
      <w:r>
        <w:rPr>
          <w:i/>
          <w:iCs/>
        </w:rPr>
        <w:t xml:space="preserve">N</w:t>
      </w:r>
      <w:r>
        <w:t xml:space="preserve">)</w:t>
      </w:r>
    </w:p>
    <w:p>
      <w:pPr>
        <w:pStyle w:val="FirstParagraph"/>
      </w:pPr>
      <w:r>
        <w:t xml:space="preserve">El universo poblacional comprende a la totalidad de los agentes que integran la comunidad académica del Departamento de Administración Pública del CURZAS-UNCo (sede Viedma y Nodos Territoriales):</w:t>
      </w:r>
    </w:p>
    <w:p>
      <w:pPr>
        <w:pStyle w:val="Compact"/>
        <w:numPr>
          <w:ilvl w:val="0"/>
          <w:numId w:val="1018"/>
        </w:numPr>
      </w:pPr>
      <w:r>
        <w:rPr>
          <w:b/>
          <w:bCs/>
        </w:rPr>
        <w:t xml:space="preserve">Población Docente (</w:t>
      </w:r>
      <w:r>
        <w:rPr>
          <w:b/>
          <w:bCs/>
          <w:i/>
          <w:iCs/>
        </w:rPr>
        <w:t xml:space="preserve">N</w:t>
      </w:r>
      <w:r>
        <w:rPr>
          <w:b/>
          <w:bCs/>
          <w:vertAlign w:val="subscript"/>
        </w:rPr>
        <w:t xml:space="preserve">doc</w:t>
      </w:r>
      <w:r>
        <w:rPr>
          <w:b/>
          <w:bCs/>
        </w:rPr>
        <w:t xml:space="preserve"> </w:t>
      </w:r>
      <w:r>
        <w:rPr>
          <w:b/>
          <w:bCs/>
        </w:rPr>
        <w:t xml:space="preserve">≈ 38 docentes):</w:t>
      </w:r>
      <w:r>
        <w:t xml:space="preserve"> </w:t>
      </w:r>
      <w:r>
        <w:t xml:space="preserve">Totalidad de los profesores y auxiliares docentes (regulares e interinos) con designación activa frente a cátedra en el Departamento de Administración Pública, distribuidos entre las asignaturas presenciales de sede Viedma y los espacios con mediación tecnológica y tutoría en los 10 Nodos Universitarios de la red territorial (Valcheta, Ramos Mexía, Sierra Colorada, Los Menucos, Maquinchao, Ingeniero Jacobacci, San Antonio Oeste / Las Grutas, Sierra Grande, General Conesa y Río Colorado).</w:t>
      </w:r>
    </w:p>
    <w:p>
      <w:pPr>
        <w:pStyle w:val="Compact"/>
        <w:numPr>
          <w:ilvl w:val="0"/>
          <w:numId w:val="1018"/>
        </w:numPr>
      </w:pPr>
      <w:r>
        <w:rPr>
          <w:b/>
          <w:bCs/>
        </w:rPr>
        <w:t xml:space="preserve">Población Estudiantil (</w:t>
      </w:r>
      <w:r>
        <w:rPr>
          <w:b/>
          <w:bCs/>
          <w:i/>
          <w:iCs/>
        </w:rPr>
        <w:t xml:space="preserve">N</w:t>
      </w:r>
      <w:r>
        <w:rPr>
          <w:b/>
          <w:bCs/>
          <w:vertAlign w:val="subscript"/>
        </w:rPr>
        <w:t xml:space="preserve">est</w:t>
      </w:r>
      <w:r>
        <w:rPr>
          <w:b/>
          <w:bCs/>
        </w:rPr>
        <w:t xml:space="preserve"> </w:t>
      </w:r>
      <w:r>
        <w:rPr>
          <w:b/>
          <w:bCs/>
        </w:rPr>
        <w:t xml:space="preserve">≈ 130 estudiantes):</w:t>
      </w:r>
      <w:r>
        <w:t xml:space="preserve"> </w:t>
      </w:r>
      <w:r>
        <w:t xml:space="preserve">Total de estudiantes con condición regular activa matriculados en los tramos formativos avanzados de las dos carreras del Departamento: 3° y 4° año de la Licenciatura en Administración Pública (LAP) y la cohorte activa del Ciclo de Complementación Curricular de la Licenciatura en Gestión de Recursos Humanos (CCC-LGRH).</w:t>
      </w:r>
    </w:p>
    <w:p>
      <w:pPr>
        <w:pStyle w:val="Compact"/>
        <w:numPr>
          <w:ilvl w:val="0"/>
          <w:numId w:val="1018"/>
        </w:numPr>
      </w:pPr>
      <w:r>
        <w:rPr>
          <w:b/>
          <w:bCs/>
        </w:rPr>
        <w:t xml:space="preserve">Población de Gestión y Representación Institucional (</w:t>
      </w:r>
      <w:r>
        <w:rPr>
          <w:b/>
          <w:bCs/>
          <w:i/>
          <w:iCs/>
        </w:rPr>
        <w:t xml:space="preserve">N</w:t>
      </w:r>
      <w:r>
        <w:rPr>
          <w:b/>
          <w:bCs/>
          <w:vertAlign w:val="subscript"/>
        </w:rPr>
        <w:t xml:space="preserve">inst</w:t>
      </w:r>
      <w:r>
        <w:rPr>
          <w:b/>
          <w:bCs/>
        </w:rPr>
        <w:t xml:space="preserve"> </w:t>
      </w:r>
      <w:r>
        <w:rPr>
          <w:b/>
          <w:bCs/>
        </w:rPr>
        <w:t xml:space="preserve">= 5 actores clave):</w:t>
      </w:r>
      <w:r>
        <w:t xml:space="preserve"> </w:t>
      </w:r>
      <w:r>
        <w:t xml:space="preserve">Integrada por la Dirección del Departamento de Administración Pública, las dos Coordinaciones de Carrera (LAP y CCC-LGRH) y dos representantes docentes paritarios de la asociación gremial de base (ADUNC) con competencia en la mesa local del CURZAS.</w:t>
      </w:r>
    </w:p>
    <w:p>
      <w:pPr>
        <w:pStyle w:val="FirstParagraph"/>
      </w:pPr>
      <w:r>
        <w:rPr>
          <w:i/>
          <w:iCs/>
        </w:rPr>
        <w:t xml:space="preserve">Nota metodológica sobre la cuantificación poblacional:</w:t>
      </w:r>
      <w:r>
        <w:t xml:space="preserve"> </w:t>
      </w:r>
      <w:r>
        <w:t xml:space="preserve">Dado que el presente documento constituye el Proyecto de TFG y el trabajo de campo empírico se proyecta para el ciclo lectivo 2027, las cifras poblacionales consignadas revisten carácter de</w:t>
      </w:r>
      <w:r>
        <w:t xml:space="preserve"> </w:t>
      </w:r>
      <w:r>
        <w:rPr>
          <w:b/>
          <w:bCs/>
        </w:rPr>
        <w:t xml:space="preserve">estimación preliminar de referencia</w:t>
      </w:r>
      <w:r>
        <w:t xml:space="preserve">, calculadas a partir de la planta funcional docente habitual del Departamento y la matrícula histórica de las cursadas de tramos superiores. La determinación del número censal nominal exacto (</w:t>
      </w:r>
      <w:r>
        <w:rPr>
          <w:i/>
          <w:iCs/>
        </w:rPr>
        <w:t xml:space="preserve">N</w:t>
      </w:r>
      <w:r>
        <w:t xml:space="preserve">) se llevará a cabo formalmente en la</w:t>
      </w:r>
      <w:r>
        <w:t xml:space="preserve"> </w:t>
      </w:r>
      <w:r>
        <w:rPr>
          <w:b/>
          <w:bCs/>
        </w:rPr>
        <w:t xml:space="preserve">Fase 1 del trabajo de campo</w:t>
      </w:r>
      <w:r>
        <w:t xml:space="preserve"> </w:t>
      </w:r>
      <w:r>
        <w:t xml:space="preserve">(Mayo 2027), mediante el acceso a los registros oficiales del Departamento de Alumnos, la Secretaría Académica del CURZAS y las actas de cursada del sistema SIU-Guaraní, previa autorización formal de las autoridades departamentales a través de la solicitud de aval académico (Anexo III).</w:t>
      </w:r>
    </w:p>
    <w:bookmarkEnd w:id="50"/>
    <w:bookmarkStart w:id="51" w:name="Xc8ab29830eeae3f4bf036160f98f9333e6ab7f4"/>
    <w:p>
      <w:pPr>
        <w:pStyle w:val="Heading4"/>
      </w:pPr>
      <w:r>
        <w:t xml:space="preserve">Precisión Epistemológica: Unidad de Análisis frente a Unidades de Observación</w:t>
      </w:r>
    </w:p>
    <w:p>
      <w:pPr>
        <w:pStyle w:val="FirstParagraph"/>
      </w:pPr>
      <w:r>
        <w:t xml:space="preserve">Para evitar ambigüedades metodológicas</w:t>
      </w:r>
      <w:r>
        <w:t xml:space="preserve"> </w:t>
      </w:r>
      <w:r>
        <w:t xml:space="preserve">(Wainerman &amp; Sautu, 2011)</w:t>
      </w:r>
      <w:r>
        <w:t xml:space="preserve">, se establece una clara diferenciación analítica:</w:t>
      </w:r>
    </w:p>
    <w:p>
      <w:pPr>
        <w:pStyle w:val="Compact"/>
        <w:numPr>
          <w:ilvl w:val="0"/>
          <w:numId w:val="1019"/>
        </w:numPr>
      </w:pPr>
      <w:r>
        <w:rPr>
          <w:b/>
          <w:bCs/>
        </w:rPr>
        <w:t xml:space="preserve">Unidad de Análisis (objeto central de estudio):</w:t>
      </w:r>
      <w:r>
        <w:t xml:space="preserve"> </w:t>
      </w:r>
      <w:r>
        <w:t xml:space="preserve">El sistema de evaluación del desempeño docente y las condiciones de factibilidad organizacional, técnica, normativa y de gobernanza multinivel para la eventual implementación de un circuito de retroalimentación 360° en el Departamento de Administración Pública del CURZAS-UNCo.</w:t>
      </w:r>
    </w:p>
    <w:p>
      <w:pPr>
        <w:pStyle w:val="Compact"/>
        <w:numPr>
          <w:ilvl w:val="0"/>
          <w:numId w:val="1019"/>
        </w:numPr>
      </w:pPr>
      <w:r>
        <w:rPr>
          <w:b/>
          <w:bCs/>
        </w:rPr>
        <w:t xml:space="preserve">Unidades de Observación (fuentes de recolección y respuesta):</w:t>
      </w:r>
      <w:r>
        <w:t xml:space="preserve"> </w:t>
      </w:r>
      <w:r>
        <w:t xml:space="preserve">Los actores situados individuales y colectivos que experimentan cotidianamente la práctica formativa y de gestión (docentes en ejercicio, directivos académicos, estudiantes avanzados y dirigentes paritarios).</w:t>
      </w:r>
    </w:p>
    <w:bookmarkEnd w:id="51"/>
    <w:bookmarkStart w:id="52" w:name="muestra-y-tipos-de-muestreo-n"/>
    <w:p>
      <w:pPr>
        <w:pStyle w:val="Heading4"/>
      </w:pPr>
      <w:r>
        <w:t xml:space="preserve">Muestra y Tipos de Muestreo (</w:t>
      </w:r>
      <w:r>
        <w:rPr>
          <w:i/>
          <w:iCs/>
        </w:rPr>
        <w:t xml:space="preserve">n</w:t>
      </w:r>
      <w:r>
        <w:t xml:space="preserve">)</w:t>
      </w:r>
    </w:p>
    <w:p>
      <w:pPr>
        <w:pStyle w:val="FirstParagraph"/>
      </w:pPr>
      <w:r>
        <w:t xml:space="preserve">Tratándose de una investigación con diseño mixto de predominio cualitativo (CUAL → cuan) ejecutada por un único tesista, se implementa un</w:t>
      </w:r>
      <w:r>
        <w:t xml:space="preserve"> </w:t>
      </w:r>
      <w:r>
        <w:rPr>
          <w:b/>
          <w:bCs/>
        </w:rPr>
        <w:t xml:space="preserve">muestreo no probabilístico</w:t>
      </w:r>
      <w:r>
        <w:t xml:space="preserve"> </w:t>
      </w:r>
      <w:r>
        <w:t xml:space="preserve">orientado a la representatividad sustantiva y teórica</w:t>
      </w:r>
      <w:r>
        <w:t xml:space="preserve"> </w:t>
      </w:r>
      <w:r>
        <w:t xml:space="preserve">(Glaser &amp; Strauss, 1967; Sautu, 2005)</w:t>
      </w:r>
      <w:r>
        <w:t xml:space="preserve">:</w:t>
      </w:r>
    </w:p>
    <w:p>
      <w:pPr>
        <w:pStyle w:val="Compact"/>
        <w:numPr>
          <w:ilvl w:val="0"/>
          <w:numId w:val="1020"/>
        </w:numPr>
      </w:pPr>
      <w:r>
        <w:rPr>
          <w:b/>
          <w:bCs/>
        </w:rPr>
        <w:t xml:space="preserve">Submuestra Cualitativa (</w:t>
      </w:r>
      <w:r>
        <w:rPr>
          <w:b/>
          <w:bCs/>
          <w:i/>
          <w:iCs/>
        </w:rPr>
        <w:t xml:space="preserve">n</w:t>
      </w:r>
      <w:r>
        <w:rPr>
          <w:b/>
          <w:bCs/>
        </w:rPr>
        <w:t xml:space="preserve"> </w:t>
      </w:r>
      <w:r>
        <w:rPr>
          <w:b/>
          <w:bCs/>
        </w:rPr>
        <w:t xml:space="preserve">= 8 informantes clave):</w:t>
      </w:r>
      <w:r>
        <w:t xml:space="preserve"> </w:t>
      </w:r>
      <w:r>
        <w:t xml:space="preserve">Muestreo intencional o por criterios teóricos</w:t>
      </w:r>
      <w:r>
        <w:t xml:space="preserve"> </w:t>
      </w:r>
      <w:r>
        <w:t xml:space="preserve">(Sautu, 2005)</w:t>
      </w:r>
      <w:r>
        <w:t xml:space="preserve">, cuyo tamaño se ajustará durante el trabajo de campo bajo el principio de saturación temática</w:t>
      </w:r>
      <w:r>
        <w:t xml:space="preserve"> </w:t>
      </w:r>
      <w:r>
        <w:t xml:space="preserve">(Glaser &amp; Strauss, 1967)</w:t>
      </w:r>
      <w:r>
        <w:t xml:space="preserve">:</w:t>
      </w:r>
    </w:p>
    <w:p>
      <w:pPr>
        <w:pStyle w:val="Compact"/>
        <w:numPr>
          <w:ilvl w:val="1"/>
          <w:numId w:val="1021"/>
        </w:numPr>
      </w:pPr>
      <w:r>
        <w:t xml:space="preserve">4 docentes de cátedra (seleccionados buscando heterogeneidad: cátedras unipersonales vs. colegiadas, dedicaciones simples vs. exclusivas, y modalidad presencial Viedma vs. tutoría virtual en Nodos).</w:t>
      </w:r>
    </w:p>
    <w:p>
      <w:pPr>
        <w:pStyle w:val="Compact"/>
        <w:numPr>
          <w:ilvl w:val="1"/>
          <w:numId w:val="1021"/>
        </w:numPr>
      </w:pPr>
      <w:r>
        <w:t xml:space="preserve">2 autoridades académicas (Dirección del Departamento y Coordinación de Carrera).</w:t>
      </w:r>
    </w:p>
    <w:p>
      <w:pPr>
        <w:pStyle w:val="Compact"/>
        <w:numPr>
          <w:ilvl w:val="1"/>
          <w:numId w:val="1021"/>
        </w:numPr>
      </w:pPr>
      <w:r>
        <w:t xml:space="preserve">1 representante paritario de ADUNC.</w:t>
      </w:r>
    </w:p>
    <w:p>
      <w:pPr>
        <w:pStyle w:val="Compact"/>
        <w:numPr>
          <w:ilvl w:val="1"/>
          <w:numId w:val="1021"/>
        </w:numPr>
      </w:pPr>
      <w:r>
        <w:t xml:space="preserve">1 estudiante avanzado con experiencia transitada en cursadas presenciales y virtuales.</w:t>
      </w:r>
    </w:p>
    <w:p>
      <w:pPr>
        <w:pStyle w:val="Compact"/>
        <w:numPr>
          <w:ilvl w:val="0"/>
          <w:numId w:val="1020"/>
        </w:numPr>
      </w:pPr>
      <w:r>
        <w:rPr>
          <w:b/>
          <w:bCs/>
        </w:rPr>
        <w:t xml:space="preserve">Submuestra Cuantitativa Diagnóstica (</w:t>
      </w:r>
      <w:r>
        <w:rPr>
          <w:b/>
          <w:bCs/>
          <w:i/>
          <w:iCs/>
        </w:rPr>
        <w:t xml:space="preserve">n</w:t>
      </w:r>
      <w:r>
        <w:rPr>
          <w:b/>
          <w:bCs/>
        </w:rPr>
        <w:t xml:space="preserve"> </w:t>
      </w:r>
      <w:r>
        <w:rPr>
          <w:b/>
          <w:bCs/>
        </w:rPr>
        <w:t xml:space="preserve">= 45 participantes):</w:t>
      </w:r>
      <w:r>
        <w:t xml:space="preserve"> </w:t>
      </w:r>
      <w:r>
        <w:t xml:space="preserve">Muestreo por accesibilidad y participación voluntaria</w:t>
      </w:r>
      <w:r>
        <w:t xml:space="preserve"> </w:t>
      </w:r>
      <w:r>
        <w:t xml:space="preserve">(Hernández Sampieri et al., 2014)</w:t>
      </w:r>
      <w:r>
        <w:t xml:space="preserve"> </w:t>
      </w:r>
      <w:r>
        <w:t xml:space="preserve">para el cuestionario exploratorio autoadministrado:</w:t>
      </w:r>
    </w:p>
    <w:p>
      <w:pPr>
        <w:pStyle w:val="Compact"/>
        <w:numPr>
          <w:ilvl w:val="1"/>
          <w:numId w:val="1022"/>
        </w:numPr>
      </w:pPr>
      <w:r>
        <w:t xml:space="preserve">15 docentes del Departamento (representa aproximadamente el 40% del universo docente departamental).</w:t>
      </w:r>
    </w:p>
    <w:p>
      <w:pPr>
        <w:pStyle w:val="Compact"/>
        <w:numPr>
          <w:ilvl w:val="1"/>
          <w:numId w:val="1022"/>
        </w:numPr>
      </w:pPr>
      <w:r>
        <w:t xml:space="preserve">30 estudiantes regulares de tramos avanzados (representa cerca del 23% de la matrícula activa de ciclos superiores).</w:t>
      </w:r>
    </w:p>
    <w:bookmarkEnd w:id="52"/>
    <w:bookmarkStart w:id="53" w:name="X998a09b61a83e90f29025d20db168181e35de2d"/>
    <w:p>
      <w:pPr>
        <w:pStyle w:val="Heading4"/>
      </w:pPr>
      <w:r>
        <w:t xml:space="preserve">Criterios Taxativos de Inclusión y Exclusión</w:t>
      </w:r>
    </w:p>
    <w:p>
      <w:pPr>
        <w:pStyle w:val="Compact"/>
        <w:numPr>
          <w:ilvl w:val="0"/>
          <w:numId w:val="1023"/>
        </w:numPr>
      </w:pPr>
      <w:r>
        <w:rPr>
          <w:b/>
          <w:bCs/>
        </w:rPr>
        <w:t xml:space="preserve">Criterios de Inclusión:</w:t>
      </w:r>
    </w:p>
    <w:p>
      <w:pPr>
        <w:pStyle w:val="Compact"/>
        <w:numPr>
          <w:ilvl w:val="1"/>
          <w:numId w:val="1024"/>
        </w:numPr>
      </w:pPr>
      <w:r>
        <w:rPr>
          <w:i/>
          <w:iCs/>
        </w:rPr>
        <w:t xml:space="preserve">Docentes:</w:t>
      </w:r>
      <w:r>
        <w:t xml:space="preserve"> </w:t>
      </w:r>
      <w:r>
        <w:t xml:space="preserve">Designación vigente frente a cátedra con una antigüedad mínima de un (1) año en el Departamento, garantizando conocimiento situado de las prácticas evaluativas institucionales.</w:t>
      </w:r>
    </w:p>
    <w:p>
      <w:pPr>
        <w:pStyle w:val="Compact"/>
        <w:numPr>
          <w:ilvl w:val="1"/>
          <w:numId w:val="1024"/>
        </w:numPr>
      </w:pPr>
      <w:r>
        <w:rPr>
          <w:i/>
          <w:iCs/>
        </w:rPr>
        <w:t xml:space="preserve">Estudiantes:</w:t>
      </w:r>
      <w:r>
        <w:t xml:space="preserve"> </w:t>
      </w:r>
      <w:r>
        <w:t xml:space="preserve">Alumnos regulares activos con al menos el 50% de materias aprobadas en LAP o cursando el segundo cuatrimestre en el CCC-LGRH, asegurando experiencia previa en las encuestas y cursadas.</w:t>
      </w:r>
    </w:p>
    <w:p>
      <w:pPr>
        <w:pStyle w:val="Compact"/>
        <w:numPr>
          <w:ilvl w:val="1"/>
          <w:numId w:val="1024"/>
        </w:numPr>
      </w:pPr>
      <w:r>
        <w:rPr>
          <w:i/>
          <w:iCs/>
        </w:rPr>
        <w:t xml:space="preserve">Autoridades y dirigentes:</w:t>
      </w:r>
      <w:r>
        <w:t xml:space="preserve"> </w:t>
      </w:r>
      <w:r>
        <w:t xml:space="preserve">Ejercicio activo de funciones de gestión o representación paritaria durante el ciclo 2027.</w:t>
      </w:r>
    </w:p>
    <w:p>
      <w:pPr>
        <w:pStyle w:val="Compact"/>
        <w:numPr>
          <w:ilvl w:val="0"/>
          <w:numId w:val="1023"/>
        </w:numPr>
      </w:pPr>
      <w:r>
        <w:rPr>
          <w:b/>
          <w:bCs/>
        </w:rPr>
        <w:t xml:space="preserve">Criterios de Exclusión:</w:t>
      </w:r>
    </w:p>
    <w:p>
      <w:pPr>
        <w:pStyle w:val="Compact"/>
        <w:numPr>
          <w:ilvl w:val="1"/>
          <w:numId w:val="1025"/>
        </w:numPr>
      </w:pPr>
      <w:r>
        <w:rPr>
          <w:i/>
          <w:iCs/>
        </w:rPr>
        <w:t xml:space="preserve">Estudiantes ingresantes (1° año):</w:t>
      </w:r>
      <w:r>
        <w:t xml:space="preserve"> </w:t>
      </w:r>
      <w:r>
        <w:t xml:space="preserve">Quienes carecen de trayectoria en los circuitos de evaluación docente universitaria.</w:t>
      </w:r>
    </w:p>
    <w:p>
      <w:pPr>
        <w:pStyle w:val="Compact"/>
        <w:numPr>
          <w:ilvl w:val="1"/>
          <w:numId w:val="1025"/>
        </w:numPr>
      </w:pPr>
      <w:r>
        <w:rPr>
          <w:i/>
          <w:iCs/>
        </w:rPr>
        <w:t xml:space="preserve">Docentes en licencia reglamentaria prolongada:</w:t>
      </w:r>
      <w:r>
        <w:t xml:space="preserve"> </w:t>
      </w:r>
      <w:r>
        <w:t xml:space="preserve">Aquellos con licencia total (año sabático, maternidad o enfermedad prolongada) durante todo el período del relevamiento de campo.</w:t>
      </w:r>
    </w:p>
    <w:bookmarkEnd w:id="53"/>
    <w:bookmarkEnd w:id="54"/>
    <w:bookmarkStart w:id="55" w:name="X8096e9b2347bf8942081b47ccb7c360d1ea8f9f"/>
    <w:p>
      <w:pPr>
        <w:pStyle w:val="Heading3"/>
        <w:keepNext/>
        <w:spacing w:before="160" w:after="40" w:line="300" w:lineRule="auto"/>
      </w:pPr>
      <w:r>
        <w:rPr>
          <w:rFonts w:ascii="Arial" w:hAnsi="Arial"/>
          <w:b/>
          <w:i/>
          <w:sz w:val="24"/>
        </w:rPr>
        <w:t xml:space="preserve">Técnicas e Instrumentos de Recolección de Datos</w:t>
      </w:r>
    </w:p>
    <w:p>
      <w:pPr>
        <w:pStyle w:val="FirstParagraph"/>
      </w:pPr>
      <w:r>
        <w:t xml:space="preserve">Se articulan tres técnicas complementarias:</w:t>
      </w:r>
    </w:p>
    <w:p>
      <w:pPr>
        <w:pStyle w:val="Compact"/>
        <w:numPr>
          <w:ilvl w:val="0"/>
          <w:numId w:val="1026"/>
        </w:numPr>
      </w:pPr>
      <w:r>
        <w:rPr>
          <w:b/>
          <w:bCs/>
        </w:rPr>
        <w:t xml:space="preserve">Análisis documental normativo:</w:t>
      </w:r>
      <w:r>
        <w:t xml:space="preserve"> </w:t>
      </w:r>
      <w:r>
        <w:t xml:space="preserve">Relevamiento del Estatuto UNCo (Ord. CS N° 0988/2025), el Reglamento de Carrera Docente (Ord. CS N° 0910/1997), el Convenio Colectivo de Trabajo Docente (Decreto N° 1246/2015) y la Resolución CD-CURZA N° 196/2022.</w:t>
      </w:r>
      <w:r>
        <w:t xml:space="preserve"> </w:t>
      </w:r>
      <w:r>
        <w:rPr>
          <w:i/>
          <w:iCs/>
        </w:rPr>
        <w:t xml:space="preserve">Instrumento:</w:t>
      </w:r>
      <w:r>
        <w:t xml:space="preserve"> </w:t>
      </w:r>
      <w:r>
        <w:t xml:space="preserve">Ficha de registro documental para sistematizar prescripciones reglamentarias y cláusulas de estabilidad laboral.</w:t>
      </w:r>
    </w:p>
    <w:p>
      <w:pPr>
        <w:pStyle w:val="Compact"/>
        <w:numPr>
          <w:ilvl w:val="0"/>
          <w:numId w:val="1026"/>
        </w:numPr>
      </w:pPr>
      <w:r>
        <w:rPr>
          <w:b/>
          <w:bCs/>
        </w:rPr>
        <w:t xml:space="preserve">Entrevistas semiestructuradas en profundidad:</w:t>
      </w:r>
      <w:r>
        <w:t xml:space="preserve"> </w:t>
      </w:r>
      <w:r>
        <w:t xml:space="preserve">Diálogo cualitativo sobre la evaluación vigente, la disposición a la coevaluación y las condiciones de viabilidad gremial e institucional.</w:t>
      </w:r>
      <w:r>
        <w:t xml:space="preserve"> </w:t>
      </w:r>
      <w:r>
        <w:rPr>
          <w:i/>
          <w:iCs/>
        </w:rPr>
        <w:t xml:space="preserve">Instrumento:</w:t>
      </w:r>
      <w:r>
        <w:t xml:space="preserve"> </w:t>
      </w:r>
      <w:r>
        <w:t xml:space="preserve">Guía de entrevista temática adaptada al rol del entrevistado (Anexo I).</w:t>
      </w:r>
    </w:p>
    <w:p>
      <w:pPr>
        <w:pStyle w:val="Compact"/>
        <w:numPr>
          <w:ilvl w:val="0"/>
          <w:numId w:val="1026"/>
        </w:numPr>
      </w:pPr>
      <w:r>
        <w:rPr>
          <w:b/>
          <w:bCs/>
        </w:rPr>
        <w:t xml:space="preserve">Cuestionario exploratorio autoadministrado:</w:t>
      </w:r>
      <w:r>
        <w:t xml:space="preserve"> </w:t>
      </w:r>
      <w:r>
        <w:t xml:space="preserve">Consulta estructurada sobre dimensiones de factibilidad técnica, cultural y procedimental. Consta de 15 reactivos en escala Likert de 5 puntos (desde 1:</w:t>
      </w:r>
      <w:r>
        <w:t xml:space="preserve"> </w:t>
      </w:r>
      <w:r>
        <w:rPr>
          <w:i/>
          <w:iCs/>
        </w:rPr>
        <w:t xml:space="preserve">Totalmente en desacuerdo</w:t>
      </w:r>
      <w:r>
        <w:t xml:space="preserve"> </w:t>
      </w:r>
      <w:r>
        <w:t xml:space="preserve">hasta 5:</w:t>
      </w:r>
      <w:r>
        <w:t xml:space="preserve"> </w:t>
      </w:r>
      <w:r>
        <w:rPr>
          <w:i/>
          <w:iCs/>
        </w:rPr>
        <w:t xml:space="preserve">Totalmente de acuerdo</w:t>
      </w:r>
      <w:r>
        <w:t xml:space="preserve">) y 2 preguntas abiertas breves.</w:t>
      </w:r>
      <w:r>
        <w:t xml:space="preserve"> </w:t>
      </w:r>
      <w:r>
        <w:rPr>
          <w:i/>
          <w:iCs/>
        </w:rPr>
        <w:t xml:space="preserve">Instrumento:</w:t>
      </w:r>
      <w:r>
        <w:t xml:space="preserve"> </w:t>
      </w:r>
      <w:r>
        <w:t xml:space="preserve">Cuestionario de factibilidad (Anexo II).</w:t>
      </w:r>
    </w:p>
    <w:p>
      <w:r>
        <w:br w:type="page"/>
      </w:r>
    </w:p>
    <w:bookmarkEnd w:id="55"/>
    <w:bookmarkStart w:id="56" w:name="matriz-de-operacionalización"/>
    <w:p>
      <w:pPr>
        <w:pStyle w:val="Heading3"/>
        <w:keepNext/>
        <w:spacing w:before="160" w:after="40" w:line="300" w:lineRule="auto"/>
      </w:pPr>
      <w:r>
        <w:rPr>
          <w:rFonts w:ascii="Arial" w:hAnsi="Arial"/>
          <w:b/>
          <w:i/>
          <w:sz w:val="24"/>
        </w:rPr>
        <w:t xml:space="preserve">Matriz de Operacionalización</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left"/>
            </w:pPr>
            <w:r>
              <w:t xml:space="preserve">Dimensión</w:t>
            </w:r>
          </w:p>
        </w:tc>
        <w:tc>
          <w:tcPr>
            <w:tcBorders>
              <w:bottom w:val="single" w:sz="6" w:space="0" w:color="000000"/>
            </w:tcBorders>
          </w:tcPr>
          <w:p>
            <w:pPr>
              <w:pStyle w:val="Compact"/>
              <w:jc w:val="left"/>
            </w:pPr>
            <w:r>
              <w:t xml:space="preserve">Variable</w:t>
            </w:r>
          </w:p>
        </w:tc>
        <w:tc>
          <w:tcPr>
            <w:tcBorders>
              <w:bottom w:val="single" w:sz="6" w:space="0" w:color="000000"/>
            </w:tcBorders>
          </w:tcPr>
          <w:p>
            <w:pPr>
              <w:pStyle w:val="Compact"/>
              <w:jc w:val="left"/>
            </w:pPr>
            <w:r>
              <w:t xml:space="preserve">Definición Operacional</w:t>
            </w:r>
          </w:p>
        </w:tc>
        <w:tc>
          <w:tcPr>
            <w:tcBorders>
              <w:bottom w:val="single" w:sz="6" w:space="0" w:color="000000"/>
            </w:tcBorders>
          </w:tcPr>
          <w:p>
            <w:pPr>
              <w:pStyle w:val="Compact"/>
              <w:jc w:val="left"/>
            </w:pPr>
            <w:r>
              <w:t xml:space="preserve">Indicadores Empíricos</w:t>
            </w:r>
          </w:p>
        </w:tc>
        <w:tc>
          <w:tcPr>
            <w:tcBorders>
              <w:bottom w:val="single" w:sz="6" w:space="0" w:color="000000"/>
            </w:tcBorders>
          </w:tcPr>
          <w:p>
            <w:pPr>
              <w:pStyle w:val="Compact"/>
              <w:jc w:val="left"/>
            </w:pPr>
            <w:r>
              <w:t xml:space="preserve">Fuentes e Instrumentos</w:t>
            </w:r>
          </w:p>
        </w:tc>
      </w:tr>
      <w:tr>
        <w:tc>
          <w:tcPr/>
          <w:p>
            <w:pPr>
              <w:pStyle w:val="Compact"/>
              <w:jc w:val="left"/>
            </w:pPr>
            <w:r>
              <w:rPr>
                <w:b/>
                <w:bCs/>
              </w:rPr>
              <w:t xml:space="preserve">1. Normativa y Estatutaria</w:t>
            </w:r>
          </w:p>
        </w:tc>
        <w:tc>
          <w:tcPr/>
          <w:p>
            <w:pPr>
              <w:pStyle w:val="Compact"/>
              <w:jc w:val="left"/>
            </w:pPr>
            <w:r>
              <w:t xml:space="preserve">Compatibilidad jurídica</w:t>
            </w:r>
          </w:p>
        </w:tc>
        <w:tc>
          <w:tcPr/>
          <w:p>
            <w:pPr>
              <w:pStyle w:val="Compact"/>
              <w:jc w:val="left"/>
            </w:pPr>
            <w:r>
              <w:t xml:space="preserve">Adecuación al Estatuto UNCo, Carrera Docente y CCT Docente (Decreto N° 1246/2015).</w:t>
            </w:r>
          </w:p>
        </w:tc>
        <w:tc>
          <w:tcPr/>
          <w:p>
            <w:pPr>
              <w:pStyle w:val="Compact"/>
              <w:jc w:val="left"/>
            </w:pPr>
            <w:r>
              <w:t xml:space="preserve">• Articulación con informes anuales y evaluaciones cuatrienales.</w:t>
            </w:r>
            <w:r>
              <w:br/>
            </w:r>
            <w:r>
              <w:t xml:space="preserve">• Preservación de la estabilidad y libertad de cátedra.</w:t>
            </w:r>
          </w:p>
        </w:tc>
        <w:tc>
          <w:tcPr/>
          <w:p>
            <w:pPr>
              <w:pStyle w:val="Compact"/>
              <w:jc w:val="left"/>
            </w:pPr>
            <w:r>
              <w:t xml:space="preserve">Estatuto UNCo, Ord. CS N° 0910/1997 y CCT.</w:t>
            </w:r>
            <w:r>
              <w:br/>
            </w:r>
            <w:r>
              <w:rPr>
                <w:i/>
                <w:iCs/>
              </w:rPr>
              <w:t xml:space="preserve">Ficha de análisis documental.</w:t>
            </w:r>
          </w:p>
        </w:tc>
      </w:tr>
      <w:tr>
        <w:tc>
          <w:tcPr/>
          <w:p>
            <w:pPr>
              <w:pStyle w:val="Compact"/>
            </w:pPr>
          </w:p>
        </w:tc>
        <w:tc>
          <w:tcPr/>
          <w:p>
            <w:pPr>
              <w:pStyle w:val="Compact"/>
              <w:jc w:val="left"/>
            </w:pPr>
            <w:r>
              <w:t xml:space="preserve">No sumatividad estatutaria</w:t>
            </w:r>
          </w:p>
        </w:tc>
        <w:tc>
          <w:tcPr/>
          <w:p>
            <w:pPr>
              <w:pStyle w:val="Compact"/>
              <w:jc w:val="left"/>
            </w:pPr>
            <w:r>
              <w:t xml:space="preserve">Resguardo de que el dispositivo carezca de consecuencias punitivas o contractuales.</w:t>
            </w:r>
          </w:p>
        </w:tc>
        <w:tc>
          <w:tcPr/>
          <w:p>
            <w:pPr>
              <w:pStyle w:val="Compact"/>
              <w:jc w:val="left"/>
            </w:pPr>
            <w:r>
              <w:t xml:space="preserve">• Cláusula de destino formativo exclusivo.</w:t>
            </w:r>
            <w:r>
              <w:br/>
            </w:r>
            <w:r>
              <w:t xml:space="preserve">• Desvinculación de jurados de permanencia.</w:t>
            </w:r>
          </w:p>
        </w:tc>
        <w:tc>
          <w:tcPr/>
          <w:p>
            <w:pPr>
              <w:pStyle w:val="Compact"/>
              <w:jc w:val="left"/>
            </w:pPr>
            <w:r>
              <w:t xml:space="preserve">Normativa de carrera y actas paritarias.</w:t>
            </w:r>
            <w:r>
              <w:br/>
            </w:r>
            <w:r>
              <w:rPr>
                <w:i/>
                <w:iCs/>
              </w:rPr>
              <w:t xml:space="preserve">Ficha documental y entrevista gremial.</w:t>
            </w:r>
          </w:p>
        </w:tc>
      </w:tr>
      <w:tr>
        <w:tc>
          <w:tcPr/>
          <w:p>
            <w:pPr>
              <w:pStyle w:val="Compact"/>
              <w:jc w:val="left"/>
            </w:pPr>
            <w:r>
              <w:rPr>
                <w:b/>
                <w:bCs/>
              </w:rPr>
              <w:t xml:space="preserve">2. Técnica e Instrumental</w:t>
            </w:r>
          </w:p>
        </w:tc>
        <w:tc>
          <w:tcPr/>
          <w:p>
            <w:pPr>
              <w:pStyle w:val="Compact"/>
              <w:jc w:val="left"/>
            </w:pPr>
            <w:r>
              <w:t xml:space="preserve">Plataforma y usabilidad</w:t>
            </w:r>
          </w:p>
        </w:tc>
        <w:tc>
          <w:tcPr/>
          <w:p>
            <w:pPr>
              <w:pStyle w:val="Compact"/>
              <w:jc w:val="left"/>
            </w:pPr>
            <w:r>
              <w:t xml:space="preserve">Accesibilidad de plataformas institucionales (Moodle/SIU) para formularios estructurados.</w:t>
            </w:r>
          </w:p>
        </w:tc>
        <w:tc>
          <w:tcPr/>
          <w:p>
            <w:pPr>
              <w:pStyle w:val="Compact"/>
              <w:jc w:val="left"/>
            </w:pPr>
            <w:r>
              <w:t xml:space="preserve">• Disponibilidad de servidores en Viedma y Nodos.</w:t>
            </w:r>
            <w:r>
              <w:br/>
            </w:r>
            <w:r>
              <w:t xml:space="preserve">• Tiempo de respuesta menor a 15 minutos.</w:t>
            </w:r>
          </w:p>
        </w:tc>
        <w:tc>
          <w:tcPr/>
          <w:p>
            <w:pPr>
              <w:pStyle w:val="Compact"/>
              <w:jc w:val="left"/>
            </w:pPr>
            <w:r>
              <w:t xml:space="preserve">Personal informático y usuarios.</w:t>
            </w:r>
            <w:r>
              <w:br/>
            </w:r>
            <w:r>
              <w:rPr>
                <w:i/>
                <w:iCs/>
              </w:rPr>
              <w:t xml:space="preserve">Ficha técnica y sondeo exploratorio.</w:t>
            </w:r>
          </w:p>
        </w:tc>
      </w:tr>
      <w:tr>
        <w:tc>
          <w:tcPr/>
          <w:p>
            <w:pPr>
              <w:pStyle w:val="Compact"/>
            </w:pPr>
          </w:p>
        </w:tc>
        <w:tc>
          <w:tcPr/>
          <w:p>
            <w:pPr>
              <w:pStyle w:val="Compact"/>
              <w:jc w:val="left"/>
            </w:pPr>
            <w:r>
              <w:t xml:space="preserve">Confidencialidad y anonimato</w:t>
            </w:r>
          </w:p>
        </w:tc>
        <w:tc>
          <w:tcPr/>
          <w:p>
            <w:pPr>
              <w:pStyle w:val="Compact"/>
              <w:jc w:val="left"/>
            </w:pPr>
            <w:r>
              <w:t xml:space="preserve">Medidas de diseño para evitar la reidentificación de los participantes.</w:t>
            </w:r>
          </w:p>
        </w:tc>
        <w:tc>
          <w:tcPr/>
          <w:p>
            <w:pPr>
              <w:pStyle w:val="Compact"/>
              <w:jc w:val="left"/>
            </w:pPr>
            <w:r>
              <w:t xml:space="preserve">• Inhabilitación de registro de IP y metadatos.</w:t>
            </w:r>
            <w:r>
              <w:br/>
            </w:r>
            <w:r>
              <w:t xml:space="preserve">• Agrupamiento de variables sociodemográficas.</w:t>
            </w:r>
            <w:r>
              <w:br/>
            </w:r>
            <w:r>
              <w:t xml:space="preserve">• Protocolo de anonimización en origen (tokens aleatorios de un solo uso).</w:t>
            </w:r>
            <w:r>
              <w:br/>
            </w:r>
            <w:r>
              <w:t xml:space="preserve">• Custodia técnica neutral: procesamiento a cargo de una comisión ad-hoc o área pedagógica neutral externa a la Dirección, que entrega al Departamento reportes consolidados y al docente su reporte individual confidencial.</w:t>
            </w:r>
          </w:p>
        </w:tc>
        <w:tc>
          <w:tcPr/>
          <w:p>
            <w:pPr>
              <w:pStyle w:val="Compact"/>
              <w:jc w:val="left"/>
            </w:pPr>
            <w:r>
              <w:t xml:space="preserve">Plataforma digital y prueba piloto.</w:t>
            </w:r>
            <w:r>
              <w:br/>
            </w:r>
            <w:r>
              <w:rPr>
                <w:i/>
                <w:iCs/>
              </w:rPr>
              <w:t xml:space="preserve">Auditoría técnica de formulario.</w:t>
            </w:r>
          </w:p>
        </w:tc>
      </w:tr>
      <w:tr>
        <w:tc>
          <w:tcPr/>
          <w:p>
            <w:pPr>
              <w:pStyle w:val="Compact"/>
            </w:pPr>
          </w:p>
        </w:tc>
        <w:tc>
          <w:tcPr/>
          <w:p>
            <w:pPr>
              <w:pStyle w:val="Compact"/>
              <w:jc w:val="left"/>
            </w:pPr>
            <w:r>
              <w:t xml:space="preserve">Mitigación de fatiga</w:t>
            </w:r>
          </w:p>
        </w:tc>
        <w:tc>
          <w:tcPr/>
          <w:p>
            <w:pPr>
              <w:pStyle w:val="Compact"/>
              <w:jc w:val="left"/>
            </w:pPr>
            <w:r>
              <w:t xml:space="preserve">Criterios de brevedad para evitar sobrecarga en asignaturas compartidas.</w:t>
            </w:r>
          </w:p>
        </w:tc>
        <w:tc>
          <w:tcPr/>
          <w:p>
            <w:pPr>
              <w:pStyle w:val="Compact"/>
              <w:jc w:val="left"/>
            </w:pPr>
            <w:r>
              <w:t xml:space="preserve">• Límite estricto de reactivos (hasta 15 ítems).</w:t>
            </w:r>
            <w:r>
              <w:br/>
            </w:r>
            <w:r>
              <w:t xml:space="preserve">• Frecuencia diagnóstica anual.</w:t>
            </w:r>
          </w:p>
        </w:tc>
        <w:tc>
          <w:tcPr/>
          <w:p>
            <w:pPr>
              <w:pStyle w:val="Compact"/>
              <w:jc w:val="left"/>
            </w:pPr>
            <w:r>
              <w:t xml:space="preserve">Respondientes en prueba piloto.</w:t>
            </w:r>
            <w:r>
              <w:br/>
            </w:r>
            <w:r>
              <w:rPr>
                <w:i/>
                <w:iCs/>
              </w:rPr>
              <w:t xml:space="preserve">Cuestionario exploratorio.</w:t>
            </w:r>
          </w:p>
        </w:tc>
      </w:tr>
      <w:tr>
        <w:tc>
          <w:tcPr/>
          <w:p>
            <w:pPr>
              <w:pStyle w:val="Compact"/>
              <w:jc w:val="left"/>
            </w:pPr>
            <w:r>
              <w:rPr>
                <w:b/>
                <w:bCs/>
              </w:rPr>
              <w:t xml:space="preserve">3. Organizacional y Procedimental</w:t>
            </w:r>
          </w:p>
        </w:tc>
        <w:tc>
          <w:tcPr/>
          <w:p>
            <w:pPr>
              <w:pStyle w:val="Compact"/>
              <w:jc w:val="left"/>
            </w:pPr>
            <w:r>
              <w:t xml:space="preserve">Capacidad departamental</w:t>
            </w:r>
          </w:p>
        </w:tc>
        <w:tc>
          <w:tcPr/>
          <w:p>
            <w:pPr>
              <w:pStyle w:val="Compact"/>
              <w:jc w:val="left"/>
            </w:pPr>
            <w:r>
              <w:t xml:space="preserve">Circuitos y tiempos de gestión para procesar información y coordinar devoluciones.</w:t>
            </w:r>
          </w:p>
        </w:tc>
        <w:tc>
          <w:tcPr/>
          <w:p>
            <w:pPr>
              <w:pStyle w:val="Compact"/>
              <w:jc w:val="left"/>
            </w:pPr>
            <w:r>
              <w:t xml:space="preserve">• Circuitos internos de procesamiento.</w:t>
            </w:r>
            <w:r>
              <w:br/>
            </w:r>
            <w:r>
              <w:t xml:space="preserve">• Plazos de emisión de reportes globales.</w:t>
            </w:r>
          </w:p>
        </w:tc>
        <w:tc>
          <w:tcPr/>
          <w:p>
            <w:pPr>
              <w:pStyle w:val="Compact"/>
              <w:jc w:val="left"/>
            </w:pPr>
            <w:r>
              <w:t xml:space="preserve">Dirección departamental y docentes.</w:t>
            </w:r>
            <w:r>
              <w:br/>
            </w:r>
            <w:r>
              <w:rPr>
                <w:i/>
                <w:iCs/>
              </w:rPr>
              <w:t xml:space="preserve">Entrevistas y revisión de circuitos.</w:t>
            </w:r>
          </w:p>
        </w:tc>
      </w:tr>
      <w:tr>
        <w:tc>
          <w:tcPr/>
          <w:p>
            <w:pPr>
              <w:pStyle w:val="Compact"/>
            </w:pPr>
          </w:p>
        </w:tc>
        <w:tc>
          <w:tcPr/>
          <w:p>
            <w:pPr>
              <w:pStyle w:val="Compact"/>
              <w:jc w:val="left"/>
            </w:pPr>
            <w:r>
              <w:t xml:space="preserve">Articulación con Art. 76</w:t>
            </w:r>
          </w:p>
        </w:tc>
        <w:tc>
          <w:tcPr/>
          <w:p>
            <w:pPr>
              <w:pStyle w:val="Compact"/>
              <w:jc w:val="left"/>
            </w:pPr>
            <w:r>
              <w:t xml:space="preserve">Canalización de demandas hacia el Programa Anual de Capacitación Docente.</w:t>
            </w:r>
          </w:p>
        </w:tc>
        <w:tc>
          <w:tcPr/>
          <w:p>
            <w:pPr>
              <w:pStyle w:val="Compact"/>
              <w:jc w:val="left"/>
            </w:pPr>
            <w:r>
              <w:t xml:space="preserve">• Registro temático de necesidades prioritarias.</w:t>
            </w:r>
            <w:r>
              <w:br/>
            </w:r>
            <w:r>
              <w:t xml:space="preserve">• Transferencia formal de insumos al plan anual.</w:t>
            </w:r>
          </w:p>
        </w:tc>
        <w:tc>
          <w:tcPr/>
          <w:p>
            <w:pPr>
              <w:pStyle w:val="Compact"/>
              <w:jc w:val="left"/>
            </w:pPr>
            <w:r>
              <w:t xml:space="preserve">Programas anuales de formación y actas.</w:t>
            </w:r>
            <w:r>
              <w:br/>
            </w:r>
            <w:r>
              <w:rPr>
                <w:i/>
                <w:iCs/>
              </w:rPr>
              <w:t xml:space="preserve">Ficha documental y entrevistas.</w:t>
            </w:r>
          </w:p>
        </w:tc>
      </w:tr>
      <w:tr>
        <w:tc>
          <w:tcPr/>
          <w:p>
            <w:pPr>
              <w:pStyle w:val="Compact"/>
              <w:jc w:val="left"/>
            </w:pPr>
            <w:r>
              <w:rPr>
                <w:b/>
                <w:bCs/>
              </w:rPr>
              <w:t xml:space="preserve">4. Cultural y Actitudinal</w:t>
            </w:r>
          </w:p>
        </w:tc>
        <w:tc>
          <w:tcPr/>
          <w:p>
            <w:pPr>
              <w:pStyle w:val="Compact"/>
              <w:jc w:val="left"/>
            </w:pPr>
            <w:r>
              <w:t xml:space="preserve">Confianza institucional</w:t>
            </w:r>
          </w:p>
        </w:tc>
        <w:tc>
          <w:tcPr/>
          <w:p>
            <w:pPr>
              <w:pStyle w:val="Compact"/>
              <w:jc w:val="left"/>
            </w:pPr>
            <w:r>
              <w:t xml:space="preserve">Predisposición favorable y percepción de seguridad frente a la retroalimentación.</w:t>
            </w:r>
          </w:p>
        </w:tc>
        <w:tc>
          <w:tcPr/>
          <w:p>
            <w:pPr>
              <w:pStyle w:val="Compact"/>
              <w:jc w:val="left"/>
            </w:pPr>
            <w:r>
              <w:t xml:space="preserve">• Nivel de confianza declarado en el fin formativo.</w:t>
            </w:r>
            <w:r>
              <w:br/>
            </w:r>
            <w:r>
              <w:t xml:space="preserve">• Disposición a recibir comentarios de pares.</w:t>
            </w:r>
          </w:p>
        </w:tc>
        <w:tc>
          <w:tcPr/>
          <w:p>
            <w:pPr>
              <w:pStyle w:val="Compact"/>
              <w:jc w:val="left"/>
            </w:pPr>
            <w:r>
              <w:t xml:space="preserve">Docentes del Departamento.</w:t>
            </w:r>
            <w:r>
              <w:br/>
            </w:r>
            <w:r>
              <w:rPr>
                <w:i/>
                <w:iCs/>
              </w:rPr>
              <w:t xml:space="preserve">Cuestionario exploratorio y entrevistas.</w:t>
            </w:r>
          </w:p>
        </w:tc>
      </w:tr>
      <w:tr>
        <w:tc>
          <w:tcPr/>
          <w:p>
            <w:pPr>
              <w:pStyle w:val="Compact"/>
            </w:pPr>
          </w:p>
        </w:tc>
        <w:tc>
          <w:tcPr/>
          <w:p>
            <w:pPr>
              <w:pStyle w:val="Compact"/>
              <w:jc w:val="left"/>
            </w:pPr>
            <w:r>
              <w:t xml:space="preserve">Autorreflexión docente</w:t>
            </w:r>
          </w:p>
        </w:tc>
        <w:tc>
          <w:tcPr/>
          <w:p>
            <w:pPr>
              <w:pStyle w:val="Compact"/>
              <w:jc w:val="left"/>
            </w:pPr>
            <w:r>
              <w:t xml:space="preserve">Valoración de la autoevaluación como herramienta de perfeccionamiento pedagógico.</w:t>
            </w:r>
          </w:p>
        </w:tc>
        <w:tc>
          <w:tcPr/>
          <w:p>
            <w:pPr>
              <w:pStyle w:val="Compact"/>
              <w:jc w:val="left"/>
            </w:pPr>
            <w:r>
              <w:t xml:space="preserve">• Práctica habitual de reflexión sobre la enseñanza.</w:t>
            </w:r>
            <w:r>
              <w:br/>
            </w:r>
            <w:r>
              <w:t xml:space="preserve">• Interés en confrontar autopercepción con pares.</w:t>
            </w:r>
          </w:p>
        </w:tc>
        <w:tc>
          <w:tcPr/>
          <w:p>
            <w:pPr>
              <w:pStyle w:val="Compact"/>
              <w:jc w:val="left"/>
            </w:pPr>
            <w:r>
              <w:t xml:space="preserve">Docentes del Departamento.</w:t>
            </w:r>
            <w:r>
              <w:br/>
            </w:r>
            <w:r>
              <w:rPr>
                <w:i/>
                <w:iCs/>
              </w:rPr>
              <w:t xml:space="preserve">Cuestionario exploratorio y entrevistas.</w:t>
            </w:r>
          </w:p>
        </w:tc>
      </w:tr>
      <w:tr>
        <w:tc>
          <w:tcPr/>
          <w:p>
            <w:pPr>
              <w:pStyle w:val="Compact"/>
            </w:pPr>
          </w:p>
        </w:tc>
        <w:tc>
          <w:tcPr/>
          <w:p>
            <w:pPr>
              <w:pStyle w:val="Compact"/>
              <w:jc w:val="left"/>
            </w:pPr>
            <w:r>
              <w:t xml:space="preserve">Pertinencia del juicio estudiantil</w:t>
            </w:r>
          </w:p>
        </w:tc>
        <w:tc>
          <w:tcPr/>
          <w:p>
            <w:pPr>
              <w:pStyle w:val="Compact"/>
              <w:jc w:val="left"/>
            </w:pPr>
            <w:r>
              <w:t xml:space="preserve">Criterio y seriedad en la valoración estudiantil del acompañamiento pedagógico.</w:t>
            </w:r>
          </w:p>
        </w:tc>
        <w:tc>
          <w:tcPr/>
          <w:p>
            <w:pPr>
              <w:pStyle w:val="Compact"/>
              <w:jc w:val="left"/>
            </w:pPr>
            <w:r>
              <w:t xml:space="preserve">• Percepción docente sobre el juicio estudiantil.</w:t>
            </w:r>
            <w:r>
              <w:br/>
            </w:r>
            <w:r>
              <w:t xml:space="preserve">• Valoración estudiantil de su propio rol.</w:t>
            </w:r>
          </w:p>
        </w:tc>
        <w:tc>
          <w:tcPr/>
          <w:p>
            <w:pPr>
              <w:pStyle w:val="Compact"/>
              <w:jc w:val="left"/>
            </w:pPr>
            <w:r>
              <w:t xml:space="preserve">Estudiantes regulares y docentes.</w:t>
            </w:r>
            <w:r>
              <w:br/>
            </w:r>
            <w:r>
              <w:rPr>
                <w:i/>
                <w:iCs/>
              </w:rPr>
              <w:t xml:space="preserve">Cuestionario a estudiantes y entrevistas.</w:t>
            </w:r>
          </w:p>
        </w:tc>
      </w:tr>
      <w:tr>
        <w:tc>
          <w:tcPr/>
          <w:p>
            <w:pPr>
              <w:pStyle w:val="Compact"/>
              <w:jc w:val="left"/>
            </w:pPr>
            <w:r>
              <w:rPr>
                <w:b/>
                <w:bCs/>
              </w:rPr>
              <w:t xml:space="preserve">5. Gobernanza Multinivel</w:t>
            </w:r>
          </w:p>
        </w:tc>
        <w:tc>
          <w:tcPr/>
          <w:p>
            <w:pPr>
              <w:pStyle w:val="Compact"/>
              <w:jc w:val="left"/>
            </w:pPr>
            <w:r>
              <w:t xml:space="preserve">Legitimación en cogobierno</w:t>
            </w:r>
          </w:p>
        </w:tc>
        <w:tc>
          <w:tcPr/>
          <w:p>
            <w:pPr>
              <w:pStyle w:val="Compact"/>
              <w:jc w:val="left"/>
            </w:pPr>
            <w:r>
              <w:t xml:space="preserve">Viabilidad para deliberar la propuesta en los órganos colegiados del CURZAS.</w:t>
            </w:r>
          </w:p>
        </w:tc>
        <w:tc>
          <w:tcPr/>
          <w:p>
            <w:pPr>
              <w:pStyle w:val="Compact"/>
              <w:jc w:val="left"/>
            </w:pPr>
            <w:r>
              <w:t xml:space="preserve">• Tratamiento en Consejo Departamental y Directivo.</w:t>
            </w:r>
            <w:r>
              <w:br/>
            </w:r>
            <w:r>
              <w:t xml:space="preserve">• Búsqueda de consensos interclaustros.</w:t>
            </w:r>
          </w:p>
        </w:tc>
        <w:tc>
          <w:tcPr/>
          <w:p>
            <w:pPr>
              <w:pStyle w:val="Compact"/>
              <w:jc w:val="left"/>
            </w:pPr>
            <w:r>
              <w:t xml:space="preserve">Consejeros departamentales y directivos.</w:t>
            </w:r>
            <w:r>
              <w:br/>
            </w:r>
            <w:r>
              <w:rPr>
                <w:i/>
                <w:iCs/>
              </w:rPr>
              <w:t xml:space="preserve">Entrevistas y actas de cogobierno.</w:t>
            </w:r>
          </w:p>
        </w:tc>
      </w:tr>
      <w:tr>
        <w:tc>
          <w:tcPr/>
          <w:p>
            <w:pPr>
              <w:pStyle w:val="Compact"/>
            </w:pPr>
          </w:p>
        </w:tc>
        <w:tc>
          <w:tcPr/>
          <w:p>
            <w:pPr>
              <w:pStyle w:val="Compact"/>
              <w:jc w:val="left"/>
            </w:pPr>
            <w:r>
              <w:t xml:space="preserve">Concertación paritaria</w:t>
            </w:r>
          </w:p>
        </w:tc>
        <w:tc>
          <w:tcPr/>
          <w:p>
            <w:pPr>
              <w:pStyle w:val="Compact"/>
              <w:jc w:val="left"/>
            </w:pPr>
            <w:r>
              <w:t xml:space="preserve">Negociación con la representación gremial (ADUNC) sobre variables de control compartido.</w:t>
            </w:r>
          </w:p>
        </w:tc>
        <w:tc>
          <w:tcPr/>
          <w:p>
            <w:pPr>
              <w:pStyle w:val="Compact"/>
              <w:jc w:val="left"/>
            </w:pPr>
            <w:r>
              <w:t xml:space="preserve">• Criterios gremiales sobre voluntariedad.</w:t>
            </w:r>
            <w:r>
              <w:br/>
            </w:r>
            <w:r>
              <w:t xml:space="preserve">• Previsión de acuerdos paritarios para pilotaje.</w:t>
            </w:r>
          </w:p>
        </w:tc>
        <w:tc>
          <w:tcPr/>
          <w:p>
            <w:pPr>
              <w:pStyle w:val="Compact"/>
              <w:jc w:val="left"/>
            </w:pPr>
            <w:r>
              <w:t xml:space="preserve">Representantes paritarios de ADUNC.</w:t>
            </w:r>
            <w:r>
              <w:br/>
            </w:r>
            <w:r>
              <w:rPr>
                <w:i/>
                <w:iCs/>
              </w:rPr>
              <w:t xml:space="preserve">Guía de entrevista paritaria.</w:t>
            </w:r>
          </w:p>
        </w:tc>
      </w:tr>
    </w:tbl>
    <w:p>
      <w:pPr>
        <w:pStyle w:val="BodyText"/>
      </w:pPr>
      <w:r>
        <w:rPr>
          <w:i/>
          <w:iCs/>
        </w:rPr>
        <w:t xml:space="preserve">Nota.</w:t>
      </w:r>
      <w:r>
        <w:t xml:space="preserve"> </w:t>
      </w:r>
      <w:r>
        <w:t xml:space="preserve">Elaboración propia a partir de Longo (2006), Cao y Blutman (2023), Matus (1993) y la normativa institucional del CURZAS-UNCo.</w:t>
      </w:r>
    </w:p>
    <w:p>
      <w:r>
        <w:br w:type="page"/>
      </w:r>
    </w:p>
    <w:bookmarkEnd w:id="56"/>
    <w:bookmarkStart w:id="57" w:name="X9c80af5c4be12b01258364981172ba0e73926b7"/>
    <w:p>
      <w:pPr>
        <w:pStyle w:val="Heading3"/>
        <w:keepNext/>
        <w:spacing w:before="160" w:after="40" w:line="300" w:lineRule="auto"/>
      </w:pPr>
      <w:r>
        <w:rPr>
          <w:rFonts w:ascii="Arial" w:hAnsi="Arial"/>
          <w:b/>
          <w:i/>
          <w:sz w:val="24"/>
        </w:rPr>
        <w:t xml:space="preserve">Procedimiento y Fases del Trabajo de Campo</w:t>
      </w:r>
    </w:p>
    <w:p>
      <w:pPr>
        <w:pStyle w:val="FirstParagraph"/>
      </w:pPr>
      <w:r>
        <w:t xml:space="preserve">Las actividades de investigación se estructuran en seis fases secuenciales coordinadas a lo largo de un lapso intensivo y viable de 7 meses de ejecución proyectados para el año 2027:</w:t>
      </w:r>
    </w:p>
    <w:p>
      <w:pPr>
        <w:pStyle w:val="Compact"/>
        <w:numPr>
          <w:ilvl w:val="0"/>
          <w:numId w:val="1027"/>
        </w:numPr>
      </w:pPr>
      <w:r>
        <w:rPr>
          <w:b/>
          <w:bCs/>
        </w:rPr>
        <w:t xml:space="preserve">Fase 1: Preparación, diseño y avales (Mes 1 / Mayo 2027):</w:t>
      </w:r>
      <w:r>
        <w:t xml:space="preserve"> </w:t>
      </w:r>
      <w:r>
        <w:t xml:space="preserve">Aprobación del proyecto en el SIA; solicitud formal de aval académico ante la Dirección del Departamento y el Decanato del CURZAS; contacto informativo con ADUNC y Centro de Estudiantes; calibración de instrumentos y prueba piloto con 2 docentes y 5 estudiantes.</w:t>
      </w:r>
      <w:r>
        <w:t xml:space="preserve"> </w:t>
      </w:r>
      <w:r>
        <w:rPr>
          <w:i/>
          <w:iCs/>
        </w:rPr>
        <w:t xml:space="preserve">Entregable:</w:t>
      </w:r>
      <w:r>
        <w:t xml:space="preserve"> </w:t>
      </w:r>
      <w:r>
        <w:t xml:space="preserve">Aval institucional e instrumentos validados.</w:t>
      </w:r>
    </w:p>
    <w:p>
      <w:pPr>
        <w:pStyle w:val="Compact"/>
        <w:numPr>
          <w:ilvl w:val="0"/>
          <w:numId w:val="1027"/>
        </w:numPr>
      </w:pPr>
      <w:r>
        <w:rPr>
          <w:b/>
          <w:bCs/>
        </w:rPr>
        <w:t xml:space="preserve">Fase 2: Relevamiento normativo y entrevistas (Mes 2 / Junio 2027):</w:t>
      </w:r>
      <w:r>
        <w:t xml:space="preserve"> </w:t>
      </w:r>
      <w:r>
        <w:t xml:space="preserve">Sistematización documental de estatutos, ordenanzas y CCT; concreción de las 8 entrevistas semiestructuradas a docentes, autoridades y dirigentes gremiales; transcripción y codificación temática preliminar.</w:t>
      </w:r>
      <w:r>
        <w:t xml:space="preserve"> </w:t>
      </w:r>
      <w:r>
        <w:rPr>
          <w:i/>
          <w:iCs/>
        </w:rPr>
        <w:t xml:space="preserve">Entregable:</w:t>
      </w:r>
      <w:r>
        <w:t xml:space="preserve"> </w:t>
      </w:r>
      <w:r>
        <w:t xml:space="preserve">Fichas normativas y transcripciones codificadas.</w:t>
      </w:r>
    </w:p>
    <w:p>
      <w:pPr>
        <w:pStyle w:val="Compact"/>
        <w:numPr>
          <w:ilvl w:val="0"/>
          <w:numId w:val="1027"/>
        </w:numPr>
      </w:pPr>
      <w:r>
        <w:rPr>
          <w:b/>
          <w:bCs/>
        </w:rPr>
        <w:t xml:space="preserve">Fase 3: Aplicación del sondeo exploratorio (Mes 3 / Julio 2027):</w:t>
      </w:r>
      <w:r>
        <w:t xml:space="preserve"> </w:t>
      </w:r>
      <w:r>
        <w:t xml:space="preserve">Parametrización y lanzamiento del cuestionario digital a docentes y estudiantes de Viedma y Nodos Territoriales; seguimiento de participación; cierre y depuración de la base de datos.</w:t>
      </w:r>
      <w:r>
        <w:t xml:space="preserve"> </w:t>
      </w:r>
      <w:r>
        <w:rPr>
          <w:i/>
          <w:iCs/>
        </w:rPr>
        <w:t xml:space="preserve">Entregable:</w:t>
      </w:r>
      <w:r>
        <w:t xml:space="preserve"> </w:t>
      </w:r>
      <w:r>
        <w:t xml:space="preserve">Base de datos anonimizada y depurada.</w:t>
      </w:r>
    </w:p>
    <w:p>
      <w:pPr>
        <w:pStyle w:val="Compact"/>
        <w:numPr>
          <w:ilvl w:val="0"/>
          <w:numId w:val="1027"/>
        </w:numPr>
      </w:pPr>
      <w:r>
        <w:rPr>
          <w:b/>
          <w:bCs/>
        </w:rPr>
        <w:t xml:space="preserve">Fase 4: Procesamiento analítico y triangulación (Mes 4 / Agosto 2027):</w:t>
      </w:r>
      <w:r>
        <w:t xml:space="preserve"> </w:t>
      </w:r>
      <w:r>
        <w:t xml:space="preserve">Procesamiento descriptivo del sondeo y análisis de contenido temático de las entrevistas; contrastación cruzada de fuentes normativas, testimoniales y cuantitativas.</w:t>
      </w:r>
      <w:r>
        <w:t xml:space="preserve"> </w:t>
      </w:r>
      <w:r>
        <w:rPr>
          <w:i/>
          <w:iCs/>
        </w:rPr>
        <w:t xml:space="preserve">Entregable:</w:t>
      </w:r>
      <w:r>
        <w:t xml:space="preserve"> </w:t>
      </w:r>
      <w:r>
        <w:t xml:space="preserve">Informe diagnóstico integrado de factibilidad.</w:t>
      </w:r>
    </w:p>
    <w:p>
      <w:pPr>
        <w:pStyle w:val="Compact"/>
        <w:numPr>
          <w:ilvl w:val="0"/>
          <w:numId w:val="1027"/>
        </w:numPr>
      </w:pPr>
      <w:r>
        <w:rPr>
          <w:b/>
          <w:bCs/>
        </w:rPr>
        <w:t xml:space="preserve">Fase 5: Formulación de lineamientos y redacción (Meses 5–6 / Septiembre–Octubre 2027):</w:t>
      </w:r>
      <w:r>
        <w:t xml:space="preserve"> </w:t>
      </w:r>
      <w:r>
        <w:t xml:space="preserve">Elaboración de lineamientos orientativos para el Departamento; reunión de consulta y devolución con docentes; redacción integral del borrador de TFG.</w:t>
      </w:r>
      <w:r>
        <w:t xml:space="preserve"> </w:t>
      </w:r>
      <w:r>
        <w:rPr>
          <w:i/>
          <w:iCs/>
        </w:rPr>
        <w:t xml:space="preserve">Entregable:</w:t>
      </w:r>
      <w:r>
        <w:t xml:space="preserve"> </w:t>
      </w:r>
      <w:r>
        <w:t xml:space="preserve">Borrador completo de Tesina.</w:t>
      </w:r>
    </w:p>
    <w:p>
      <w:pPr>
        <w:pStyle w:val="Compact"/>
        <w:numPr>
          <w:ilvl w:val="0"/>
          <w:numId w:val="1027"/>
        </w:numPr>
      </w:pPr>
      <w:r>
        <w:rPr>
          <w:b/>
          <w:bCs/>
        </w:rPr>
        <w:t xml:space="preserve">Fase 6: Revisión final, tramitación y defensa oral (Mes 7 / Noviembre 2027):</w:t>
      </w:r>
      <w:r>
        <w:t xml:space="preserve"> </w:t>
      </w:r>
      <w:r>
        <w:t xml:space="preserve">Supervisión y visto bueno final de la Dirección de TFG; presentación formal ante mesa de entradas del CURZAS; designación de jurados y defensa oral del TFG.</w:t>
      </w:r>
      <w:r>
        <w:t xml:space="preserve"> </w:t>
      </w:r>
      <w:r>
        <w:rPr>
          <w:i/>
          <w:iCs/>
        </w:rPr>
        <w:t xml:space="preserve">Entregable:</w:t>
      </w:r>
      <w:r>
        <w:t xml:space="preserve"> </w:t>
      </w:r>
      <w:r>
        <w:t xml:space="preserve">Trabajo Final de Graduación aprobado.</w:t>
      </w:r>
    </w:p>
    <w:bookmarkEnd w:id="57"/>
    <w:bookmarkStart w:id="58" w:name="procesamiento-y-análisis-de-datos"/>
    <w:p>
      <w:pPr>
        <w:pStyle w:val="Heading3"/>
        <w:keepNext/>
        <w:spacing w:before="160" w:after="40" w:line="300" w:lineRule="auto"/>
      </w:pPr>
      <w:r>
        <w:rPr>
          <w:rFonts w:ascii="Arial" w:hAnsi="Arial"/>
          <w:b/>
          <w:i/>
          <w:sz w:val="24"/>
        </w:rPr>
        <w:t xml:space="preserve">Procesamiento y Análisis de Datos</w:t>
      </w:r>
    </w:p>
    <w:p>
      <w:pPr>
        <w:pStyle w:val="Compact"/>
        <w:numPr>
          <w:ilvl w:val="0"/>
          <w:numId w:val="1028"/>
        </w:numPr>
      </w:pPr>
      <w:r>
        <w:rPr>
          <w:b/>
          <w:bCs/>
        </w:rPr>
        <w:t xml:space="preserve">Análisis de datos cualitativos:</w:t>
      </w:r>
      <w:r>
        <w:t xml:space="preserve"> </w:t>
      </w:r>
      <w:r>
        <w:t xml:space="preserve">Las entrevistas transcriptas y los documentos normativos se analizan mediante análisis de contenido temático</w:t>
      </w:r>
      <w:r>
        <w:t xml:space="preserve"> </w:t>
      </w:r>
      <w:r>
        <w:t xml:space="preserve">(Bardin, 2002; Sautu, 2005)</w:t>
      </w:r>
      <w:r>
        <w:t xml:space="preserve">, agrupando los fragmentos discursivos en categorías correspondientes a las cinco dimensiones de factibilidad para identificar patrones, tensiones y condiciones señaladas por los informantes.</w:t>
      </w:r>
    </w:p>
    <w:p>
      <w:pPr>
        <w:pStyle w:val="Compact"/>
        <w:numPr>
          <w:ilvl w:val="0"/>
          <w:numId w:val="1028"/>
        </w:numPr>
      </w:pPr>
      <w:r>
        <w:rPr>
          <w:b/>
          <w:bCs/>
        </w:rPr>
        <w:t xml:space="preserve">Análisis de datos cuantitativos:</w:t>
      </w:r>
      <w:r>
        <w:t xml:space="preserve"> </w:t>
      </w:r>
      <w:r>
        <w:t xml:space="preserve">Los resultados del cuestionario digital se procesan mediante estadística descriptiva básica (distribuciones de frecuencias, porcentajes y medias por reactivo) empleando planillas estructuradas o paquetes de código abierto (R / PSPP). Se sintetizan tendencias generales sin inferencias probabilísticas desproporcionadas para la muestra diagnóstica.</w:t>
      </w:r>
    </w:p>
    <w:p>
      <w:pPr>
        <w:pStyle w:val="Compact"/>
        <w:numPr>
          <w:ilvl w:val="0"/>
          <w:numId w:val="1028"/>
        </w:numPr>
      </w:pPr>
      <w:r>
        <w:rPr>
          <w:b/>
          <w:bCs/>
        </w:rPr>
        <w:t xml:space="preserve">Triangulación de datos:</w:t>
      </w:r>
      <w:r>
        <w:t xml:space="preserve"> </w:t>
      </w:r>
      <w:r>
        <w:t xml:space="preserve">Siguiendo a</w:t>
      </w:r>
      <w:r>
        <w:t xml:space="preserve"> </w:t>
      </w:r>
      <w:r>
        <w:t xml:space="preserve">Denzin (1978)</w:t>
      </w:r>
      <w:r>
        <w:t xml:space="preserve"> </w:t>
      </w:r>
      <w:r>
        <w:t xml:space="preserve">y</w:t>
      </w:r>
      <w:r>
        <w:t xml:space="preserve"> </w:t>
      </w:r>
      <w:r>
        <w:t xml:space="preserve">Sautu (2005)</w:t>
      </w:r>
      <w:r>
        <w:t xml:space="preserve">, se contrastan de manera sistemática los tres corpus de datos: las prescripciones estatutarias, los testimonios en profundidad y las frecuencias del sondeo. El propósito consiste en ponderar la coherencia entre lo normado, lo viable técnicamente y lo aceptado culturalmente por la comunidad académica.</w:t>
      </w:r>
    </w:p>
    <w:bookmarkEnd w:id="58"/>
    <w:bookmarkStart w:id="59" w:name="consideraciones-éticas"/>
    <w:p>
      <w:pPr>
        <w:pStyle w:val="Heading3"/>
        <w:keepNext/>
        <w:spacing w:before="160" w:after="40" w:line="300" w:lineRule="auto"/>
      </w:pPr>
      <w:r>
        <w:rPr>
          <w:rFonts w:ascii="Arial" w:hAnsi="Arial"/>
          <w:b/>
          <w:i/>
          <w:sz w:val="24"/>
        </w:rPr>
        <w:t xml:space="preserve">Consideraciones Éticas</w:t>
      </w:r>
    </w:p>
    <w:p>
      <w:pPr>
        <w:pStyle w:val="FirstParagraph"/>
      </w:pPr>
      <w:r>
        <w:t xml:space="preserve">El estudio se rige por las siguientes garantías institucionales y éticas:</w:t>
      </w:r>
    </w:p>
    <w:p>
      <w:pPr>
        <w:pStyle w:val="Compact"/>
        <w:numPr>
          <w:ilvl w:val="0"/>
          <w:numId w:val="1029"/>
        </w:numPr>
      </w:pPr>
      <w:r>
        <w:rPr>
          <w:b/>
          <w:bCs/>
        </w:rPr>
        <w:t xml:space="preserve">Protección de datos y resguardo de identidad (Custodia del Anonimato):</w:t>
      </w:r>
      <w:r>
        <w:t xml:space="preserve"> </w:t>
      </w:r>
      <w:r>
        <w:t xml:space="preserve">Conforme a la Ley Nacional N° 25.326 de Protección de los Datos Personales</w:t>
      </w:r>
      <w:r>
        <w:t xml:space="preserve"> </w:t>
      </w:r>
      <w:r>
        <w:t xml:space="preserve">(Ley N° 25.326, 2000)</w:t>
      </w:r>
      <w:r>
        <w:t xml:space="preserve">, se garantiza la estricta disociación entre las respuestas y la identidad de los participantes. El cuestionario digital se administra bajo un protocolo de</w:t>
      </w:r>
      <w:r>
        <w:t xml:space="preserve"> </w:t>
      </w:r>
      <w:r>
        <w:rPr>
          <w:b/>
          <w:bCs/>
        </w:rPr>
        <w:t xml:space="preserve">anonimización en origen</w:t>
      </w:r>
      <w:r>
        <w:t xml:space="preserve"> </w:t>
      </w:r>
      <w:r>
        <w:t xml:space="preserve">mediante tokens aleatorios de un solo uso, sin registrar correos electrónicos ni direcciones IP. Para disipar cualquier incertidumbre sobre cruce de horarios o permisos de administrador en servidores institucionales, la custodia y administración técnica del instrumento será gestionada por un área pedagógica neutral o comisión técnica ad-hoc independiente de la conducción ejecutiva del Departamento. Dicha custodia garantiza que el Departamento solo reciba informes diagnósticos agregados y globales, mientras que cada docente recibe de forma directa y confidencial su reporte individual de retroalimentación pedagógica, impidiendo cualquier reidentificación por deducción en cátedras unipersonales o con reducida matrícula.</w:t>
      </w:r>
    </w:p>
    <w:p>
      <w:pPr>
        <w:pStyle w:val="Compact"/>
        <w:numPr>
          <w:ilvl w:val="0"/>
          <w:numId w:val="1029"/>
        </w:numPr>
      </w:pPr>
      <w:r>
        <w:rPr>
          <w:b/>
          <w:bCs/>
        </w:rPr>
        <w:t xml:space="preserve">Consentimiento informado:</w:t>
      </w:r>
      <w:r>
        <w:t xml:space="preserve"> </w:t>
      </w:r>
      <w:r>
        <w:t xml:space="preserve">La participación en entrevistas y sondeos es libre y voluntaria. Cada participante valida digitalmente el formulario de consentimiento informado (Anexo IV) previo a responder.</w:t>
      </w:r>
    </w:p>
    <w:p>
      <w:pPr>
        <w:pStyle w:val="Compact"/>
        <w:numPr>
          <w:ilvl w:val="0"/>
          <w:numId w:val="1029"/>
        </w:numPr>
      </w:pPr>
      <w:r>
        <w:rPr>
          <w:b/>
          <w:bCs/>
        </w:rPr>
        <w:t xml:space="preserve">Garantía de no afectación laboral:</w:t>
      </w:r>
      <w:r>
        <w:t xml:space="preserve"> </w:t>
      </w:r>
      <w:r>
        <w:t xml:space="preserve">En concordancia con el Convenio Colectivo de Trabajo Docente (Decreto N° 1246/2015), los datos obtenidos se destinan exclusivamente a fines diagnósticos y académicos del TFG. Bajo ninguna circunstancia los reportes integrarán legajos, evaluaciones de permanencia ni concursos laborales.</w:t>
      </w:r>
    </w:p>
    <w:p>
      <w:r>
        <w:br w:type="page"/>
      </w:r>
    </w:p>
    <w:bookmarkEnd w:id="59"/>
    <w:bookmarkEnd w:id="60"/>
    <w:bookmarkStart w:id="61" w:name="cronograma-de-actividades"/>
    <w:p>
      <w:pPr>
        <w:pStyle w:val="Heading2"/>
        <w:keepNext/>
        <w:spacing w:before="200" w:after="80" w:line="300" w:lineRule="auto"/>
      </w:pPr>
      <w:r>
        <w:rPr>
          <w:rFonts w:ascii="Arial" w:hAnsi="Arial"/>
          <w:b/>
          <w:sz w:val="24"/>
        </w:rPr>
        <w:t xml:space="preserve">Cronograma de Actividades</w:t>
      </w:r>
    </w:p>
    <w:p>
      <w:pPr>
        <w:pStyle w:val="FirstParagraph"/>
      </w:pPr>
      <w:r>
        <w:t xml:space="preserve">El proyecto se planifica en un lapso de 7 meses continuos distribuidos en etapas mensuales articuladas con las seis fases de investigación para su desarrollo durante el año 2027:</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812"/>
        <w:gridCol w:w="1015"/>
        <w:gridCol w:w="1015"/>
        <w:gridCol w:w="1015"/>
        <w:gridCol w:w="1015"/>
        <w:gridCol w:w="1015"/>
        <w:gridCol w:w="1015"/>
        <w:gridCol w:w="1015"/>
      </w:tblGrid>
      <w:tr>
        <w:trPr>
          <w:tblHeader w:val="on"/>
        </w:trPr>
        <w:tc>
          <w:tcPr>
            <w:tcBorders>
              <w:bottom w:val="single" w:sz="6" w:space="0" w:color="000000"/>
            </w:tcBorders>
          </w:tcPr>
          <w:p>
            <w:pPr>
              <w:pStyle w:val="Compact"/>
              <w:jc w:val="left"/>
            </w:pPr>
            <w:r>
              <w:t xml:space="preserve">Etapa / Actividad Metodológica</w:t>
            </w:r>
          </w:p>
        </w:tc>
        <w:tc>
          <w:tcPr>
            <w:tcBorders>
              <w:bottom w:val="single" w:sz="6" w:space="0" w:color="000000"/>
            </w:tcBorders>
          </w:tcPr>
          <w:p>
            <w:pPr>
              <w:pStyle w:val="Compact"/>
              <w:jc w:val="center"/>
            </w:pPr>
            <w:r>
              <w:t xml:space="preserve">Mes 1 (May 27)</w:t>
            </w:r>
          </w:p>
        </w:tc>
        <w:tc>
          <w:tcPr>
            <w:tcBorders>
              <w:bottom w:val="single" w:sz="6" w:space="0" w:color="000000"/>
            </w:tcBorders>
          </w:tcPr>
          <w:p>
            <w:pPr>
              <w:pStyle w:val="Compact"/>
              <w:jc w:val="center"/>
            </w:pPr>
            <w:r>
              <w:t xml:space="preserve">Mes 2 (Jun 27)</w:t>
            </w:r>
          </w:p>
        </w:tc>
        <w:tc>
          <w:tcPr>
            <w:tcBorders>
              <w:bottom w:val="single" w:sz="6" w:space="0" w:color="000000"/>
            </w:tcBorders>
          </w:tcPr>
          <w:p>
            <w:pPr>
              <w:pStyle w:val="Compact"/>
              <w:jc w:val="center"/>
            </w:pPr>
            <w:r>
              <w:t xml:space="preserve">Mes 3 (Jul 27)</w:t>
            </w:r>
          </w:p>
        </w:tc>
        <w:tc>
          <w:tcPr>
            <w:tcBorders>
              <w:bottom w:val="single" w:sz="6" w:space="0" w:color="000000"/>
            </w:tcBorders>
          </w:tcPr>
          <w:p>
            <w:pPr>
              <w:pStyle w:val="Compact"/>
              <w:jc w:val="center"/>
            </w:pPr>
            <w:r>
              <w:t xml:space="preserve">Mes 4 (Ago 27)</w:t>
            </w:r>
          </w:p>
        </w:tc>
        <w:tc>
          <w:tcPr>
            <w:tcBorders>
              <w:bottom w:val="single" w:sz="6" w:space="0" w:color="000000"/>
            </w:tcBorders>
          </w:tcPr>
          <w:p>
            <w:pPr>
              <w:pStyle w:val="Compact"/>
              <w:jc w:val="center"/>
            </w:pPr>
            <w:r>
              <w:t xml:space="preserve">Mes 5 (Sep 27)</w:t>
            </w:r>
          </w:p>
        </w:tc>
        <w:tc>
          <w:tcPr>
            <w:tcBorders>
              <w:bottom w:val="single" w:sz="6" w:space="0" w:color="000000"/>
            </w:tcBorders>
          </w:tcPr>
          <w:p>
            <w:pPr>
              <w:pStyle w:val="Compact"/>
              <w:jc w:val="center"/>
            </w:pPr>
            <w:r>
              <w:t xml:space="preserve">Mes 6 (Oct 27)</w:t>
            </w:r>
          </w:p>
        </w:tc>
        <w:tc>
          <w:tcPr>
            <w:tcBorders>
              <w:bottom w:val="single" w:sz="6" w:space="0" w:color="000000"/>
            </w:tcBorders>
          </w:tcPr>
          <w:p>
            <w:pPr>
              <w:pStyle w:val="Compact"/>
              <w:jc w:val="center"/>
            </w:pPr>
            <w:r>
              <w:t xml:space="preserve">Mes 7 (Nov 27)</w:t>
            </w:r>
          </w:p>
        </w:tc>
      </w:tr>
      <w:tr>
        <w:tc>
          <w:tcPr/>
          <w:p>
            <w:pPr>
              <w:pStyle w:val="Compact"/>
              <w:jc w:val="left"/>
            </w:pPr>
            <w:r>
              <w:t xml:space="preserve">1. Aprobación del Proyecto de TFG (SIA)</w:t>
            </w:r>
          </w:p>
        </w:tc>
        <w:tc>
          <w:tcPr/>
          <w:p>
            <w:pPr>
              <w:pStyle w:val="Compact"/>
              <w:jc w:val="center"/>
            </w:pPr>
            <w:r>
              <w:rPr>
                <w:b/>
                <w:bCs/>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 Gestión de avales y diseño de instrumentos (Fase 1)</w:t>
            </w:r>
          </w:p>
        </w:tc>
        <w:tc>
          <w:tcPr/>
          <w:p>
            <w:pPr>
              <w:pStyle w:val="Compact"/>
              <w:jc w:val="center"/>
            </w:pPr>
            <w:r>
              <w:rPr>
                <w:b/>
                <w:bCs/>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 Prueba piloto de instrumentos (Fase 1)</w:t>
            </w:r>
          </w:p>
        </w:tc>
        <w:tc>
          <w:tcPr/>
          <w:p>
            <w:pPr>
              <w:pStyle w:val="Compact"/>
              <w:jc w:val="center"/>
            </w:pPr>
            <w:r>
              <w:rPr>
                <w:b/>
                <w:bCs/>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 Trabajo de campo: normativa y entrevistas (Fase 2)</w:t>
            </w:r>
          </w:p>
        </w:tc>
        <w:tc>
          <w:tcPr/>
          <w:p>
            <w:pPr>
              <w:pStyle w:val="Compact"/>
            </w:pPr>
          </w:p>
        </w:tc>
        <w:tc>
          <w:tcPr/>
          <w:p>
            <w:pPr>
              <w:pStyle w:val="Compact"/>
              <w:jc w:val="center"/>
            </w:pPr>
            <w:r>
              <w:rPr>
                <w:b/>
                <w:bCs/>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 Trabajo de campo: sondeo en Viedma y Nodos (Fase 3)</w:t>
            </w:r>
          </w:p>
        </w:tc>
        <w:tc>
          <w:tcPr/>
          <w:p>
            <w:pPr>
              <w:pStyle w:val="Compact"/>
            </w:pPr>
          </w:p>
        </w:tc>
        <w:tc>
          <w:tcPr/>
          <w:p>
            <w:pPr>
              <w:pStyle w:val="Compact"/>
            </w:pPr>
          </w:p>
        </w:tc>
        <w:tc>
          <w:tcPr/>
          <w:p>
            <w:pPr>
              <w:pStyle w:val="Compact"/>
              <w:jc w:val="center"/>
            </w:pPr>
            <w:r>
              <w:rPr>
                <w:b/>
                <w:bCs/>
              </w:rP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 Procesamiento de datos y triangulación (Fase 4)</w:t>
            </w:r>
          </w:p>
        </w:tc>
        <w:tc>
          <w:tcPr/>
          <w:p>
            <w:pPr>
              <w:pStyle w:val="Compact"/>
            </w:pPr>
          </w:p>
        </w:tc>
        <w:tc>
          <w:tcPr/>
          <w:p>
            <w:pPr>
              <w:pStyle w:val="Compact"/>
            </w:pPr>
          </w:p>
        </w:tc>
        <w:tc>
          <w:tcPr/>
          <w:p>
            <w:pPr>
              <w:pStyle w:val="Compact"/>
            </w:pPr>
          </w:p>
        </w:tc>
        <w:tc>
          <w:tcPr/>
          <w:p>
            <w:pPr>
              <w:pStyle w:val="Compact"/>
              <w:jc w:val="center"/>
            </w:pPr>
            <w:r>
              <w:rPr>
                <w:b/>
                <w:bCs/>
              </w:rPr>
              <w:t xml:space="preserve">X</w:t>
            </w:r>
          </w:p>
        </w:tc>
        <w:tc>
          <w:tcPr/>
          <w:p>
            <w:pPr>
              <w:pStyle w:val="Compact"/>
            </w:pPr>
          </w:p>
        </w:tc>
        <w:tc>
          <w:tcPr/>
          <w:p>
            <w:pPr>
              <w:pStyle w:val="Compact"/>
            </w:pPr>
          </w:p>
        </w:tc>
        <w:tc>
          <w:tcPr/>
          <w:p>
            <w:pPr>
              <w:pStyle w:val="Compact"/>
            </w:pPr>
          </w:p>
        </w:tc>
      </w:tr>
      <w:tr>
        <w:tc>
          <w:tcPr/>
          <w:p>
            <w:pPr>
              <w:pStyle w:val="Compact"/>
              <w:jc w:val="left"/>
            </w:pPr>
            <w:r>
              <w:t xml:space="preserve">7. Redacción de Tesina y lineamientos (Fase 5)</w:t>
            </w: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X</w:t>
            </w:r>
          </w:p>
        </w:tc>
        <w:tc>
          <w:tcPr/>
          <w:p>
            <w:pPr>
              <w:pStyle w:val="Compact"/>
              <w:jc w:val="center"/>
            </w:pPr>
            <w:r>
              <w:rPr>
                <w:b/>
                <w:bCs/>
              </w:rPr>
              <w:t xml:space="preserve">X</w:t>
            </w:r>
          </w:p>
        </w:tc>
        <w:tc>
          <w:tcPr/>
          <w:p>
            <w:pPr>
              <w:pStyle w:val="Compact"/>
            </w:pPr>
          </w:p>
        </w:tc>
      </w:tr>
      <w:tr>
        <w:tc>
          <w:tcPr/>
          <w:p>
            <w:pPr>
              <w:pStyle w:val="Compact"/>
              <w:jc w:val="left"/>
            </w:pPr>
            <w:r>
              <w:t xml:space="preserve">8. Revisión final, tramitación y defensa de TFG (Fase 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X</w:t>
            </w:r>
          </w:p>
        </w:tc>
      </w:tr>
    </w:tbl>
    <w:p>
      <w:pPr>
        <w:pStyle w:val="BodyText"/>
      </w:pPr>
      <w:r>
        <w:rPr>
          <w:i/>
          <w:iCs/>
        </w:rPr>
        <w:t xml:space="preserve">Nota.</w:t>
      </w:r>
      <w:r>
        <w:t xml:space="preserve"> </w:t>
      </w:r>
      <w:r>
        <w:t xml:space="preserve">Elaboración propia. La planificación mensual de 7 meses proyectada para el año 2027 se adecua a la escala operativa de un investigador individual y a los plazos académicos reglamentados por el CURZAS-UNCo.</w:t>
      </w:r>
    </w:p>
    <w:p>
      <w:r>
        <w:br w:type="page"/>
      </w:r>
    </w:p>
    <w:bookmarkEnd w:id="61"/>
    <w:bookmarkStart w:id="66" w:name="viabilidad-del-proyecto"/>
    <w:p>
      <w:pPr>
        <w:pStyle w:val="Heading2"/>
        <w:keepNext/>
        <w:spacing w:before="200" w:after="80" w:line="300" w:lineRule="auto"/>
      </w:pPr>
      <w:r>
        <w:rPr>
          <w:rFonts w:ascii="Arial" w:hAnsi="Arial"/>
          <w:b/>
          <w:sz w:val="24"/>
        </w:rPr>
        <w:t xml:space="preserve">Viabilidad del Proyecto</w:t>
      </w:r>
    </w:p>
    <w:p>
      <w:pPr>
        <w:pStyle w:val="FirstParagraph"/>
      </w:pPr>
      <w:r>
        <w:t xml:space="preserve">Conforme a la Resolución CD-CURZAS N° 266/23, se especifican los recursos económicos, humanos y técnicos requeridos:</w:t>
      </w:r>
    </w:p>
    <w:bookmarkStart w:id="62" w:name="recursos-económicos-y-presupuesto"/>
    <w:p>
      <w:pPr>
        <w:pStyle w:val="Heading3"/>
        <w:keepNext/>
        <w:spacing w:before="160" w:after="40" w:line="300" w:lineRule="auto"/>
      </w:pPr>
      <w:r>
        <w:rPr>
          <w:rFonts w:ascii="Arial" w:hAnsi="Arial"/>
          <w:b/>
          <w:i/>
          <w:sz w:val="24"/>
        </w:rPr>
        <w:t xml:space="preserve">Recursos Económicos y Presupuesto</w:t>
      </w:r>
    </w:p>
    <w:p>
      <w:pPr>
        <w:pStyle w:val="FirstParagraph"/>
      </w:pPr>
      <w:r>
        <w:t xml:space="preserve">La investigación no requiere financiamiento institucional ni subsidios externos, asumiéndose íntegramente bajo régimen de autofinanciamiento por el tesista:</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1863"/>
        <w:gridCol w:w="1863"/>
        <w:gridCol w:w="2329"/>
        <w:gridCol w:w="1863"/>
      </w:tblGrid>
      <w:tr>
        <w:trPr>
          <w:tblHeader w:val="on"/>
        </w:trPr>
        <w:tc>
          <w:tcPr>
            <w:tcBorders>
              <w:bottom w:val="single" w:sz="6" w:space="0" w:color="000000"/>
            </w:tcBorders>
          </w:tcPr>
          <w:p>
            <w:pPr>
              <w:pStyle w:val="Compact"/>
              <w:jc w:val="left"/>
            </w:pPr>
            <w:r>
              <w:t xml:space="preserve">Rubro</w:t>
            </w:r>
          </w:p>
        </w:tc>
        <w:tc>
          <w:tcPr>
            <w:tcBorders>
              <w:bottom w:val="single" w:sz="6" w:space="0" w:color="000000"/>
            </w:tcBorders>
          </w:tcPr>
          <w:p>
            <w:pPr>
              <w:pStyle w:val="Compact"/>
              <w:jc w:val="left"/>
            </w:pPr>
            <w:r>
              <w:t xml:space="preserve">Descripción</w:t>
            </w:r>
          </w:p>
        </w:tc>
        <w:tc>
          <w:tcPr>
            <w:tcBorders>
              <w:bottom w:val="single" w:sz="6" w:space="0" w:color="000000"/>
            </w:tcBorders>
          </w:tcPr>
          <w:p>
            <w:pPr>
              <w:pStyle w:val="Compact"/>
              <w:jc w:val="center"/>
            </w:pPr>
            <w:r>
              <w:t xml:space="preserve">Monto Estimado (ARS)</w:t>
            </w:r>
          </w:p>
        </w:tc>
        <w:tc>
          <w:tcPr>
            <w:tcBorders>
              <w:bottom w:val="single" w:sz="6" w:space="0" w:color="000000"/>
            </w:tcBorders>
          </w:tcPr>
          <w:p>
            <w:pPr>
              <w:pStyle w:val="Compact"/>
              <w:jc w:val="left"/>
            </w:pPr>
            <w:r>
              <w:t xml:space="preserve">Fuente</w:t>
            </w:r>
          </w:p>
        </w:tc>
      </w:tr>
      <w:tr>
        <w:tc>
          <w:tcPr/>
          <w:p>
            <w:pPr>
              <w:pStyle w:val="Compact"/>
              <w:jc w:val="left"/>
            </w:pPr>
            <w:r>
              <w:rPr>
                <w:b/>
                <w:bCs/>
              </w:rPr>
              <w:t xml:space="preserve">Materiales de oficina</w:t>
            </w:r>
          </w:p>
        </w:tc>
        <w:tc>
          <w:tcPr/>
          <w:p>
            <w:pPr>
              <w:pStyle w:val="Compact"/>
              <w:jc w:val="left"/>
            </w:pPr>
            <w:r>
              <w:t xml:space="preserve">Resmas A4, copias de instrumentos y carpetas de archivo.</w:t>
            </w:r>
          </w:p>
        </w:tc>
        <w:tc>
          <w:tcPr/>
          <w:p>
            <w:pPr>
              <w:pStyle w:val="Compact"/>
              <w:jc w:val="center"/>
            </w:pPr>
            <w:r>
              <w:t xml:space="preserve">$ 35.000</w:t>
            </w:r>
          </w:p>
        </w:tc>
        <w:tc>
          <w:tcPr/>
          <w:p>
            <w:pPr>
              <w:pStyle w:val="Compact"/>
              <w:jc w:val="left"/>
            </w:pPr>
            <w:r>
              <w:t xml:space="preserve">Autofinanciamiento</w:t>
            </w:r>
          </w:p>
        </w:tc>
      </w:tr>
      <w:tr>
        <w:tc>
          <w:tcPr/>
          <w:p>
            <w:pPr>
              <w:pStyle w:val="Compact"/>
              <w:jc w:val="left"/>
            </w:pPr>
            <w:r>
              <w:rPr>
                <w:b/>
                <w:bCs/>
              </w:rPr>
              <w:t xml:space="preserve">Conectividad</w:t>
            </w:r>
          </w:p>
        </w:tc>
        <w:tc>
          <w:tcPr/>
          <w:p>
            <w:pPr>
              <w:pStyle w:val="Compact"/>
              <w:jc w:val="left"/>
            </w:pPr>
            <w:r>
              <w:t xml:space="preserve">Acceso a internet domiciliario para administración digital y trabajo remoto.</w:t>
            </w:r>
          </w:p>
        </w:tc>
        <w:tc>
          <w:tcPr/>
          <w:p>
            <w:pPr>
              <w:pStyle w:val="Compact"/>
              <w:jc w:val="center"/>
            </w:pPr>
            <w:r>
              <w:t xml:space="preserve">$ 50.000</w:t>
            </w:r>
          </w:p>
        </w:tc>
        <w:tc>
          <w:tcPr/>
          <w:p>
            <w:pPr>
              <w:pStyle w:val="Compact"/>
              <w:jc w:val="left"/>
            </w:pPr>
            <w:r>
              <w:t xml:space="preserve">Autofinanciamiento</w:t>
            </w:r>
          </w:p>
        </w:tc>
      </w:tr>
      <w:tr>
        <w:tc>
          <w:tcPr/>
          <w:p>
            <w:pPr>
              <w:pStyle w:val="Compact"/>
              <w:jc w:val="left"/>
            </w:pPr>
            <w:r>
              <w:rPr>
                <w:b/>
                <w:bCs/>
              </w:rPr>
              <w:t xml:space="preserve">Software y herramientas</w:t>
            </w:r>
          </w:p>
        </w:tc>
        <w:tc>
          <w:tcPr/>
          <w:p>
            <w:pPr>
              <w:pStyle w:val="Compact"/>
              <w:jc w:val="left"/>
            </w:pPr>
            <w:r>
              <w:t xml:space="preserve">Herramientas libres y de código abierto (Quarto, Typst, R/PSPP, Zotero).</w:t>
            </w:r>
          </w:p>
        </w:tc>
        <w:tc>
          <w:tcPr/>
          <w:p>
            <w:pPr>
              <w:pStyle w:val="Compact"/>
              <w:jc w:val="center"/>
            </w:pPr>
            <w:r>
              <w:t xml:space="preserve">$ 0</w:t>
            </w:r>
          </w:p>
        </w:tc>
        <w:tc>
          <w:tcPr/>
          <w:p>
            <w:pPr>
              <w:pStyle w:val="Compact"/>
              <w:jc w:val="left"/>
            </w:pPr>
            <w:r>
              <w:t xml:space="preserve">Gratuito / Libre</w:t>
            </w:r>
          </w:p>
        </w:tc>
      </w:tr>
      <w:tr>
        <w:tc>
          <w:tcPr/>
          <w:p>
            <w:pPr>
              <w:pStyle w:val="Compact"/>
              <w:jc w:val="left"/>
            </w:pPr>
            <w:r>
              <w:rPr>
                <w:b/>
                <w:bCs/>
              </w:rPr>
              <w:t xml:space="preserve">Traslados locales</w:t>
            </w:r>
          </w:p>
        </w:tc>
        <w:tc>
          <w:tcPr/>
          <w:p>
            <w:pPr>
              <w:pStyle w:val="Compact"/>
              <w:jc w:val="left"/>
            </w:pPr>
            <w:r>
              <w:t xml:space="preserve">Movilidad urbana en Viedma para entrevistas presenciales en el CURZAS.</w:t>
            </w:r>
          </w:p>
        </w:tc>
        <w:tc>
          <w:tcPr/>
          <w:p>
            <w:pPr>
              <w:pStyle w:val="Compact"/>
              <w:jc w:val="center"/>
            </w:pPr>
            <w:r>
              <w:t xml:space="preserve">$ 40.000</w:t>
            </w:r>
          </w:p>
        </w:tc>
        <w:tc>
          <w:tcPr/>
          <w:p>
            <w:pPr>
              <w:pStyle w:val="Compact"/>
              <w:jc w:val="left"/>
            </w:pPr>
            <w:r>
              <w:t xml:space="preserve">Autofinanciamiento</w:t>
            </w:r>
          </w:p>
        </w:tc>
      </w:tr>
      <w:tr>
        <w:tc>
          <w:tcPr/>
          <w:p>
            <w:pPr>
              <w:pStyle w:val="Compact"/>
              <w:jc w:val="left"/>
            </w:pPr>
            <w:r>
              <w:rPr>
                <w:b/>
                <w:bCs/>
              </w:rPr>
              <w:t xml:space="preserve">Edición y encuadernación</w:t>
            </w:r>
          </w:p>
        </w:tc>
        <w:tc>
          <w:tcPr/>
          <w:p>
            <w:pPr>
              <w:pStyle w:val="Compact"/>
              <w:jc w:val="left"/>
            </w:pPr>
            <w:r>
              <w:t xml:space="preserve">Impresión de ejemplares requeridos para la entrega formal y defensa.</w:t>
            </w:r>
          </w:p>
        </w:tc>
        <w:tc>
          <w:tcPr/>
          <w:p>
            <w:pPr>
              <w:pStyle w:val="Compact"/>
              <w:jc w:val="center"/>
            </w:pPr>
            <w:r>
              <w:t xml:space="preserve">$ 35.000</w:t>
            </w:r>
          </w:p>
        </w:tc>
        <w:tc>
          <w:tcPr/>
          <w:p>
            <w:pPr>
              <w:pStyle w:val="Compact"/>
              <w:jc w:val="left"/>
            </w:pPr>
            <w:r>
              <w:t xml:space="preserve">Autofinanciamiento</w:t>
            </w:r>
          </w:p>
        </w:tc>
      </w:tr>
      <w:tr>
        <w:tc>
          <w:tcPr/>
          <w:p>
            <w:pPr>
              <w:pStyle w:val="Compact"/>
              <w:jc w:val="left"/>
            </w:pPr>
            <w:r>
              <w:rPr>
                <w:b/>
                <w:bCs/>
              </w:rPr>
              <w:t xml:space="preserve">Total</w:t>
            </w:r>
          </w:p>
        </w:tc>
        <w:tc>
          <w:tcPr/>
          <w:p>
            <w:pPr>
              <w:pStyle w:val="Compact"/>
              <w:jc w:val="left"/>
            </w:pPr>
            <w:r>
              <w:rPr>
                <w:b/>
                <w:bCs/>
              </w:rPr>
              <w:t xml:space="preserve">Presupuesto total estimado</w:t>
            </w:r>
          </w:p>
        </w:tc>
        <w:tc>
          <w:tcPr/>
          <w:p>
            <w:pPr>
              <w:pStyle w:val="Compact"/>
              <w:jc w:val="center"/>
            </w:pPr>
            <w:r>
              <w:rPr>
                <w:b/>
                <w:bCs/>
              </w:rPr>
              <w:t xml:space="preserve">$ 160.000</w:t>
            </w:r>
          </w:p>
        </w:tc>
        <w:tc>
          <w:tcPr/>
          <w:p>
            <w:pPr>
              <w:pStyle w:val="Compact"/>
              <w:jc w:val="left"/>
            </w:pPr>
            <w:r>
              <w:rPr>
                <w:b/>
                <w:bCs/>
              </w:rPr>
              <w:t xml:space="preserve">100% Propio</w:t>
            </w:r>
          </w:p>
        </w:tc>
      </w:tr>
    </w:tbl>
    <w:p>
      <w:pPr>
        <w:pStyle w:val="BodyText"/>
      </w:pPr>
      <w:r>
        <w:rPr>
          <w:i/>
          <w:iCs/>
        </w:rPr>
        <w:t xml:space="preserve">Nota.</w:t>
      </w:r>
      <w:r>
        <w:t xml:space="preserve"> </w:t>
      </w:r>
      <w:r>
        <w:t xml:space="preserve">El relevamiento en los 10 Nodos Universitarios de la red territorial se realizará mediante formularios digitales autoadministrados y salas de videoconferencia institucionales, sin generar costos extraordinarios de traslado físico.</w:t>
      </w:r>
    </w:p>
    <w:bookmarkEnd w:id="62"/>
    <w:bookmarkStart w:id="63" w:name="recursos-humanos-y-dedicación"/>
    <w:p>
      <w:pPr>
        <w:pStyle w:val="Heading3"/>
        <w:keepNext/>
        <w:spacing w:before="160" w:after="40" w:line="300" w:lineRule="auto"/>
      </w:pPr>
      <w:r>
        <w:rPr>
          <w:rFonts w:ascii="Arial" w:hAnsi="Arial"/>
          <w:b/>
          <w:i/>
          <w:sz w:val="24"/>
        </w:rPr>
        <w:t xml:space="preserve">Recursos Humanos y Dedicación</w:t>
      </w:r>
    </w:p>
    <w:p>
      <w:pPr>
        <w:pStyle w:val="Compact"/>
        <w:numPr>
          <w:ilvl w:val="0"/>
          <w:numId w:val="1030"/>
        </w:numPr>
      </w:pPr>
      <w:r>
        <w:rPr>
          <w:b/>
          <w:bCs/>
        </w:rPr>
        <w:t xml:space="preserve">Investigador / Tesista:</w:t>
      </w:r>
      <w:r>
        <w:t xml:space="preserve"> </w:t>
      </w:r>
      <w:r>
        <w:t xml:space="preserve">Tec. Sup. Héctor Daniel Ayarachi Fuentes (Legajo N° 8252 — DNI N° 35.492.138). Dedicación estimada de 15 a 20 horas semanales.</w:t>
      </w:r>
    </w:p>
    <w:p>
      <w:pPr>
        <w:pStyle w:val="Compact"/>
        <w:numPr>
          <w:ilvl w:val="0"/>
          <w:numId w:val="1030"/>
        </w:numPr>
      </w:pPr>
      <w:r>
        <w:rPr>
          <w:b/>
          <w:bCs/>
        </w:rPr>
        <w:t xml:space="preserve">Director/a de TFG:</w:t>
      </w:r>
      <w:r>
        <w:t xml:space="preserve"> </w:t>
      </w:r>
      <w:r>
        <w:t xml:space="preserve">Docente especialista en Administración Pública o Gestión de RRHH, a designar formalmente antes de finalizar el cursado del SIA (Art. 4°, Res. 266/23).</w:t>
      </w:r>
    </w:p>
    <w:p>
      <w:pPr>
        <w:pStyle w:val="Compact"/>
        <w:numPr>
          <w:ilvl w:val="0"/>
          <w:numId w:val="1030"/>
        </w:numPr>
      </w:pPr>
      <w:r>
        <w:rPr>
          <w:b/>
          <w:bCs/>
        </w:rPr>
        <w:t xml:space="preserve">Equipo Docente del SIA:</w:t>
      </w:r>
      <w:r>
        <w:t xml:space="preserve"> </w:t>
      </w:r>
      <w:r>
        <w:t xml:space="preserve">Dra. Deborah Noguera, Esp. Federico Abeiro y Esp. María Cecilia Aguirre (acompañamiento formativo del diseño).</w:t>
      </w:r>
    </w:p>
    <w:p>
      <w:pPr>
        <w:pStyle w:val="Compact"/>
        <w:numPr>
          <w:ilvl w:val="0"/>
          <w:numId w:val="1030"/>
        </w:numPr>
      </w:pPr>
      <w:r>
        <w:rPr>
          <w:b/>
          <w:bCs/>
        </w:rPr>
        <w:t xml:space="preserve">Participantes institucionales:</w:t>
      </w:r>
      <w:r>
        <w:t xml:space="preserve"> </w:t>
      </w:r>
      <w:r>
        <w:t xml:space="preserve">Docentes, autoridades de departamento, consejeros y estudiantes que colaboren voluntariamente en entrevistas y sondeos.</w:t>
      </w:r>
    </w:p>
    <w:bookmarkEnd w:id="63"/>
    <w:bookmarkStart w:id="64" w:name="recursos-técnicos-y-materiales"/>
    <w:p>
      <w:pPr>
        <w:pStyle w:val="Heading3"/>
        <w:keepNext/>
        <w:spacing w:before="160" w:after="40" w:line="300" w:lineRule="auto"/>
      </w:pPr>
      <w:r>
        <w:rPr>
          <w:rFonts w:ascii="Arial" w:hAnsi="Arial"/>
          <w:b/>
          <w:i/>
          <w:sz w:val="24"/>
        </w:rPr>
        <w:t xml:space="preserve">Recursos Técnicos y Materiales</w:t>
      </w:r>
    </w:p>
    <w:p>
      <w:pPr>
        <w:pStyle w:val="Compact"/>
        <w:numPr>
          <w:ilvl w:val="0"/>
          <w:numId w:val="1031"/>
        </w:numPr>
      </w:pPr>
      <w:r>
        <w:t xml:space="preserve">Computadora personal con copias de seguridad sincronizadas en la nube.</w:t>
      </w:r>
    </w:p>
    <w:p>
      <w:pPr>
        <w:pStyle w:val="Compact"/>
        <w:numPr>
          <w:ilvl w:val="0"/>
          <w:numId w:val="1031"/>
        </w:numPr>
      </w:pPr>
      <w:r>
        <w:t xml:space="preserve">Acceso institucional a plataformas virtuales del CURZAS (Campus Moodle y SIU-Guaraní).</w:t>
      </w:r>
    </w:p>
    <w:p>
      <w:pPr>
        <w:pStyle w:val="Compact"/>
        <w:numPr>
          <w:ilvl w:val="0"/>
          <w:numId w:val="1031"/>
        </w:numPr>
      </w:pPr>
      <w:r>
        <w:t xml:space="preserve">Entorno de redacción</w:t>
      </w:r>
      <w:r>
        <w:t xml:space="preserve"> </w:t>
      </w:r>
      <w:r>
        <w:rPr>
          <w:i/>
          <w:iCs/>
        </w:rPr>
        <w:t xml:space="preserve">Docs-as-Code</w:t>
      </w:r>
      <w:r>
        <w:t xml:space="preserve"> </w:t>
      </w:r>
      <w:r>
        <w:t xml:space="preserve">(Quarto, Typst, Pandoc) con estándares de formato APA 7ma Edición.</w:t>
      </w:r>
    </w:p>
    <w:bookmarkEnd w:id="64"/>
    <w:bookmarkStart w:id="65" w:name="X1839fa070b0cddb93485950ba93c69de9c2c78d"/>
    <w:p>
      <w:pPr>
        <w:pStyle w:val="Heading3"/>
        <w:keepNext/>
        <w:spacing w:before="160" w:after="40" w:line="300" w:lineRule="auto"/>
      </w:pPr>
      <w:r>
        <w:rPr>
          <w:rFonts w:ascii="Arial" w:hAnsi="Arial"/>
          <w:b/>
          <w:i/>
          <w:sz w:val="24"/>
        </w:rPr>
        <w:t xml:space="preserve">Viabilidad Institucional y Autorizaciones</w:t>
      </w:r>
    </w:p>
    <w:p>
      <w:pPr>
        <w:pStyle w:val="FirstParagraph"/>
      </w:pPr>
      <w:r>
        <w:t xml:space="preserve">El tesista es alumno regular del Ciclo de Complementación Curricular de la Licenciatura en Gestión de Recursos Humanos. Se presentará la nota formal de aval ante la Dirección del Departamento de Administración Pública (Anexo III) para autorizar las actividades de relevamiento empírico.</w:t>
      </w:r>
    </w:p>
    <w:p>
      <w:r>
        <w:br w:type="page"/>
      </w:r>
    </w:p>
    <w:bookmarkEnd w:id="65"/>
    <w:bookmarkEnd w:id="66"/>
    <w:bookmarkEnd w:id="67"/>
    <w:bookmarkStart w:id="112" w:name="referencias-bibliográficas"/>
    <w:p>
      <w:pPr>
        <w:pStyle w:val="Heading1"/>
        <w:keepNext/>
        <w:spacing w:before="240" w:after="120" w:line="300" w:lineRule="auto"/>
        <w:jc w:val="center"/>
      </w:pPr>
      <w:r>
        <w:rPr>
          <w:rFonts w:ascii="Arial" w:hAnsi="Arial"/>
          <w:b/>
          <w:sz w:val="28"/>
        </w:rPr>
        <w:t xml:space="preserve">Referencias Bibliográficas</w:t>
      </w:r>
    </w:p>
    <w:bookmarkStart w:id="111" w:name="refs"/>
    <w:bookmarkStart w:id="68" w:name="ref-aguilar2006"/>
    <w:p>
      <w:pPr>
        <w:pStyle w:val="Bibliography"/>
        <w:spacing w:after="120"/>
        <w:ind w:left="720" w:hanging="720"/>
        <w:jc w:val="left"/>
      </w:pPr>
      <w:r>
        <w:t xml:space="preserve">Aguilar Villanueva, L. F. (2006).</w:t>
      </w:r>
      <w:r>
        <w:t xml:space="preserve"> </w:t>
      </w:r>
      <w:r>
        <w:rPr>
          <w:i/>
          <w:iCs/>
        </w:rPr>
        <w:t xml:space="preserve">Gobernanza y gestión pública</w:t>
      </w:r>
      <w:r>
        <w:t xml:space="preserve">. Fondo de Cultura Económica.</w:t>
      </w:r>
    </w:p>
    <w:bookmarkEnd w:id="68"/>
    <w:bookmarkStart w:id="70" w:name="ref-alvarado2019"/>
    <w:p>
      <w:pPr>
        <w:pStyle w:val="Bibliography"/>
        <w:spacing w:after="120"/>
        <w:ind w:left="720" w:hanging="720"/>
        <w:jc w:val="left"/>
      </w:pPr>
      <w:r>
        <w:t xml:space="preserve">Alvarado, M., &amp; Morales, R. (2019).</w:t>
      </w:r>
      <w:r>
        <w:t xml:space="preserve"> </w:t>
      </w:r>
      <w:r>
        <w:rPr>
          <w:i/>
          <w:iCs/>
        </w:rPr>
        <w:t xml:space="preserve">Propuesta de evaluación del desempeño docente utilizando la metodología de 360º en educación superior pública</w:t>
      </w:r>
      <w:r>
        <w:t xml:space="preserve">. Universidad Nacional Autónoma de México (UNAM).</w:t>
      </w:r>
      <w:r>
        <w:t xml:space="preserve"> </w:t>
      </w:r>
      <w:hyperlink r:id="rId69">
        <w:r>
          <w:rPr>
            <w:rStyle w:val="Hyperlink"/>
          </w:rPr>
          <w:t xml:space="preserve">https://ru.dgb.unam.mx/handle/123456789/4144</w:t>
        </w:r>
      </w:hyperlink>
    </w:p>
    <w:bookmarkEnd w:id="70"/>
    <w:bookmarkStart w:id="71" w:name="ref-bardin2002"/>
    <w:p>
      <w:pPr>
        <w:pStyle w:val="Bibliography"/>
        <w:spacing w:after="120"/>
        <w:ind w:left="720" w:hanging="720"/>
        <w:jc w:val="left"/>
      </w:pPr>
      <w:r>
        <w:t xml:space="preserve">Bardin, L. (2002).</w:t>
      </w:r>
      <w:r>
        <w:t xml:space="preserve"> </w:t>
      </w:r>
      <w:r>
        <w:rPr>
          <w:i/>
          <w:iCs/>
        </w:rPr>
        <w:t xml:space="preserve">Análisis de contenido</w:t>
      </w:r>
      <w:r>
        <w:t xml:space="preserve">. Ediciones Akal.</w:t>
      </w:r>
    </w:p>
    <w:bookmarkEnd w:id="71"/>
    <w:bookmarkStart w:id="72" w:name="ref-cao2021"/>
    <w:p>
      <w:pPr>
        <w:pStyle w:val="Bibliography"/>
        <w:spacing w:after="120"/>
        <w:ind w:left="720" w:hanging="720"/>
        <w:jc w:val="left"/>
      </w:pPr>
      <w:r>
        <w:t xml:space="preserve">Cao, H., &amp; Blutman, G. (2021).</w:t>
      </w:r>
      <w:r>
        <w:t xml:space="preserve"> </w:t>
      </w:r>
      <w:r>
        <w:rPr>
          <w:i/>
          <w:iCs/>
        </w:rPr>
        <w:t xml:space="preserve">Escenarios prospectivos para el Estado y la administración pública argentina: El modelo de la poligobernanza y las transformaciones tecnológicas</w:t>
      </w:r>
      <w:r>
        <w:t xml:space="preserve">. Instituto Nacional de la Administración Pública (INAP).</w:t>
      </w:r>
    </w:p>
    <w:bookmarkEnd w:id="72"/>
    <w:bookmarkStart w:id="74" w:name="ref-cao2023"/>
    <w:p>
      <w:pPr>
        <w:pStyle w:val="Bibliography"/>
        <w:spacing w:after="120"/>
        <w:ind w:left="720" w:hanging="720"/>
        <w:jc w:val="left"/>
      </w:pPr>
      <w:r>
        <w:t xml:space="preserve">Cao, H., &amp; Blutman, G. (2023). Escenarios futuros para el Estado y la Administración Pública.</w:t>
      </w:r>
      <w:r>
        <w:t xml:space="preserve"> </w:t>
      </w:r>
      <w:r>
        <w:rPr>
          <w:i/>
          <w:iCs/>
        </w:rPr>
        <w:t xml:space="preserve">Colección</w:t>
      </w:r>
      <w:r>
        <w:t xml:space="preserve">,</w:t>
      </w:r>
      <w:r>
        <w:t xml:space="preserve"> </w:t>
      </w:r>
      <w:r>
        <w:rPr>
          <w:i/>
          <w:iCs/>
        </w:rPr>
        <w:t xml:space="preserve">34</w:t>
      </w:r>
      <w:r>
        <w:t xml:space="preserve">(1), 143-176.</w:t>
      </w:r>
      <w:r>
        <w:t xml:space="preserve"> </w:t>
      </w:r>
      <w:hyperlink r:id="rId73">
        <w:r>
          <w:rPr>
            <w:rStyle w:val="Hyperlink"/>
          </w:rPr>
          <w:t xml:space="preserve">https://doi.org/10.46553/colec.34.2023.p143-176</w:t>
        </w:r>
      </w:hyperlink>
    </w:p>
    <w:bookmarkEnd w:id="74"/>
    <w:bookmarkStart w:id="75" w:name="ref-chiavenato2020"/>
    <w:p>
      <w:pPr>
        <w:pStyle w:val="Bibliography"/>
        <w:spacing w:after="120"/>
        <w:ind w:left="720" w:hanging="720"/>
        <w:jc w:val="left"/>
      </w:pPr>
      <w:r>
        <w:t xml:space="preserve">Chiavenato, I. (2020).</w:t>
      </w:r>
      <w:r>
        <w:t xml:space="preserve"> </w:t>
      </w:r>
      <w:r>
        <w:rPr>
          <w:i/>
          <w:iCs/>
        </w:rPr>
        <w:t xml:space="preserve">Gestión del talento humano: El nuevo papel de los recursos humanos en las organizaciones</w:t>
      </w:r>
      <w:r>
        <w:t xml:space="preserve"> </w:t>
      </w:r>
      <w:r>
        <w:t xml:space="preserve">(5.ª ed.). McGraw-Hill Interamericana.</w:t>
      </w:r>
    </w:p>
    <w:bookmarkEnd w:id="75"/>
    <w:bookmarkStart w:id="77" w:name="ref-curza2022"/>
    <w:p>
      <w:pPr>
        <w:pStyle w:val="Bibliography"/>
        <w:spacing w:after="120"/>
        <w:ind w:left="720" w:hanging="720"/>
        <w:jc w:val="left"/>
      </w:pPr>
      <w:r>
        <w:t xml:space="preserve">Consejo Directivo del CURZAS. (2022).</w:t>
      </w:r>
      <w:r>
        <w:t xml:space="preserve"> </w:t>
      </w:r>
      <w:r>
        <w:rPr>
          <w:i/>
          <w:iCs/>
        </w:rPr>
        <w:t xml:space="preserve">Resolución CD-CURZA N° 196/2022: Pautas para mediaciones tecnológicas, presencialidad sincrónica remota y docencia híbrida en el marco del SIED UNCo</w:t>
      </w:r>
      <w:r>
        <w:t xml:space="preserve">. Universidad Nacional del Comahue.</w:t>
      </w:r>
      <w:r>
        <w:t xml:space="preserve"> </w:t>
      </w:r>
      <w:hyperlink r:id="rId76">
        <w:r>
          <w:rPr>
            <w:rStyle w:val="Hyperlink"/>
          </w:rPr>
          <w:t xml:space="preserve">https://web.curza.uncoma.edu.ar/educacion-distancia/nodos-curza-unco-region-sur</w:t>
        </w:r>
      </w:hyperlink>
    </w:p>
    <w:bookmarkEnd w:id="77"/>
    <w:bookmarkStart w:id="78" w:name="ref-uncocurzas2023"/>
    <w:p>
      <w:pPr>
        <w:pStyle w:val="Bibliography"/>
        <w:spacing w:after="120"/>
        <w:ind w:left="720" w:hanging="720"/>
        <w:jc w:val="left"/>
      </w:pPr>
      <w:r>
        <w:t xml:space="preserve">Consejo Directivo del CURZAS. (2023).</w:t>
      </w:r>
      <w:r>
        <w:t xml:space="preserve"> </w:t>
      </w:r>
      <w:r>
        <w:rPr>
          <w:i/>
          <w:iCs/>
        </w:rPr>
        <w:t xml:space="preserve">Resolución CD-CURZAS N° 266/2023: Reglamento de Trabajo Final de Graduación (TFG) para las carreras del Departamento de Administración Pública</w:t>
      </w:r>
      <w:r>
        <w:t xml:space="preserve">. Universidad Nacional del Comahue.</w:t>
      </w:r>
    </w:p>
    <w:bookmarkEnd w:id="78"/>
    <w:bookmarkStart w:id="80" w:name="ref-delagarza2001"/>
    <w:p>
      <w:pPr>
        <w:pStyle w:val="Bibliography"/>
        <w:spacing w:after="120"/>
        <w:ind w:left="720" w:hanging="720"/>
        <w:jc w:val="left"/>
      </w:pPr>
      <w:r>
        <w:t xml:space="preserve">De la Garza Toledo, E. (2001). La epistemología crítica y el concepto de configuración: Alternativas a la estructura y al sujeto.</w:t>
      </w:r>
      <w:r>
        <w:t xml:space="preserve"> </w:t>
      </w:r>
      <w:r>
        <w:rPr>
          <w:i/>
          <w:iCs/>
        </w:rPr>
        <w:t xml:space="preserve">Revista Mexicana de Sociología</w:t>
      </w:r>
      <w:r>
        <w:t xml:space="preserve">,</w:t>
      </w:r>
      <w:r>
        <w:t xml:space="preserve"> </w:t>
      </w:r>
      <w:r>
        <w:rPr>
          <w:i/>
          <w:iCs/>
        </w:rPr>
        <w:t xml:space="preserve">63</w:t>
      </w:r>
      <w:r>
        <w:t xml:space="preserve">(1), 109-127.</w:t>
      </w:r>
      <w:r>
        <w:t xml:space="preserve"> </w:t>
      </w:r>
      <w:hyperlink r:id="rId79">
        <w:r>
          <w:rPr>
            <w:rStyle w:val="Hyperlink"/>
          </w:rPr>
          <w:t xml:space="preserve">https://doi.org/10.2307/3541464</w:t>
        </w:r>
      </w:hyperlink>
    </w:p>
    <w:bookmarkEnd w:id="80"/>
    <w:bookmarkStart w:id="81" w:name="ref-pen2015"/>
    <w:p>
      <w:pPr>
        <w:pStyle w:val="Bibliography"/>
        <w:spacing w:after="120"/>
        <w:ind w:left="720" w:hanging="720"/>
        <w:jc w:val="left"/>
      </w:pPr>
      <w:r>
        <w:t xml:space="preserve">Decreto N° 1246/2015. Convenio Colectivo de Trabajo para los Docentes de las Instituciones Universitarias Nacionales (2015).</w:t>
      </w:r>
    </w:p>
    <w:bookmarkEnd w:id="81"/>
    <w:bookmarkStart w:id="82" w:name="ref-denzin1978"/>
    <w:p>
      <w:pPr>
        <w:pStyle w:val="Bibliography"/>
        <w:spacing w:after="120"/>
        <w:ind w:left="720" w:hanging="720"/>
        <w:jc w:val="left"/>
      </w:pPr>
      <w:r>
        <w:t xml:space="preserve">Denzin, N. K. (1978).</w:t>
      </w:r>
      <w:r>
        <w:t xml:space="preserve"> </w:t>
      </w:r>
      <w:r>
        <w:rPr>
          <w:i/>
          <w:iCs/>
        </w:rPr>
        <w:t xml:space="preserve">The research act: A theoretical introduction to sociological methods</w:t>
      </w:r>
      <w:r>
        <w:t xml:space="preserve"> </w:t>
      </w:r>
      <w:r>
        <w:t xml:space="preserve">(2.ª ed.). McGraw-Hill.</w:t>
      </w:r>
    </w:p>
    <w:bookmarkEnd w:id="82"/>
    <w:bookmarkStart w:id="84" w:name="ref-flyvbjerg2005"/>
    <w:p>
      <w:pPr>
        <w:pStyle w:val="Bibliography"/>
        <w:spacing w:after="120"/>
        <w:ind w:left="720" w:hanging="720"/>
        <w:jc w:val="left"/>
      </w:pPr>
      <w:r>
        <w:t xml:space="preserve">Flyvbjerg, B. (2005). Cinco malentendidos acerca de la investigación mediante los estudios de caso.</w:t>
      </w:r>
      <w:r>
        <w:t xml:space="preserve"> </w:t>
      </w:r>
      <w:r>
        <w:rPr>
          <w:i/>
          <w:iCs/>
        </w:rPr>
        <w:t xml:space="preserve">Revista Española de Investigaciones Sociológicas (REIS)</w:t>
      </w:r>
      <w:r>
        <w:t xml:space="preserve">, (106), 33-62.</w:t>
      </w:r>
      <w:r>
        <w:t xml:space="preserve"> </w:t>
      </w:r>
      <w:hyperlink r:id="rId83">
        <w:r>
          <w:rPr>
            <w:rStyle w:val="Hyperlink"/>
          </w:rPr>
          <w:t xml:space="preserve">https://doi.org/10.2307/40184584</w:t>
        </w:r>
      </w:hyperlink>
    </w:p>
    <w:bookmarkEnd w:id="84"/>
    <w:bookmarkStart w:id="85" w:name="ref-gimenez2012"/>
    <w:p>
      <w:pPr>
        <w:pStyle w:val="Bibliography"/>
        <w:spacing w:after="120"/>
        <w:ind w:left="720" w:hanging="720"/>
        <w:jc w:val="left"/>
      </w:pPr>
      <w:r>
        <w:t xml:space="preserve">Giménez, G. (2012). El estatuto metodológico del estudio de caso en las ciencias sociales.</w:t>
      </w:r>
      <w:r>
        <w:t xml:space="preserve"> </w:t>
      </w:r>
      <w:r>
        <w:rPr>
          <w:i/>
          <w:iCs/>
        </w:rPr>
        <w:t xml:space="preserve">Cultura y Representaciones Sociales</w:t>
      </w:r>
      <w:r>
        <w:t xml:space="preserve">,</w:t>
      </w:r>
      <w:r>
        <w:t xml:space="preserve"> </w:t>
      </w:r>
      <w:r>
        <w:rPr>
          <w:i/>
          <w:iCs/>
        </w:rPr>
        <w:t xml:space="preserve">7</w:t>
      </w:r>
      <w:r>
        <w:t xml:space="preserve">(13), 33-52.</w:t>
      </w:r>
    </w:p>
    <w:bookmarkEnd w:id="85"/>
    <w:bookmarkStart w:id="86" w:name="ref-glaser1967"/>
    <w:p>
      <w:pPr>
        <w:pStyle w:val="Bibliography"/>
        <w:spacing w:after="120"/>
        <w:ind w:left="720" w:hanging="720"/>
        <w:jc w:val="left"/>
      </w:pPr>
      <w:r>
        <w:t xml:space="preserve">Glaser, B. G., &amp; Strauss, A. L. (1967).</w:t>
      </w:r>
      <w:r>
        <w:t xml:space="preserve"> </w:t>
      </w:r>
      <w:r>
        <w:rPr>
          <w:i/>
          <w:iCs/>
        </w:rPr>
        <w:t xml:space="preserve">The discovery of grounded theory: Strategies for qualitative research</w:t>
      </w:r>
      <w:r>
        <w:t xml:space="preserve">. Aldine Publishing Company.</w:t>
      </w:r>
    </w:p>
    <w:bookmarkEnd w:id="86"/>
    <w:bookmarkStart w:id="87" w:name="ref-hernandezsampieri2014"/>
    <w:p>
      <w:pPr>
        <w:pStyle w:val="Bibliography"/>
        <w:spacing w:after="120"/>
        <w:ind w:left="720" w:hanging="720"/>
        <w:jc w:val="left"/>
      </w:pPr>
      <w:r>
        <w:t xml:space="preserve">Hernández Sampieri, R., Fernández Collado, C., &amp; Baptista Lucio, M. del P. (2014).</w:t>
      </w:r>
      <w:r>
        <w:t xml:space="preserve"> </w:t>
      </w:r>
      <w:r>
        <w:rPr>
          <w:i/>
          <w:iCs/>
        </w:rPr>
        <w:t xml:space="preserve">Metodología de la investigación</w:t>
      </w:r>
      <w:r>
        <w:t xml:space="preserve"> </w:t>
      </w:r>
      <w:r>
        <w:t xml:space="preserve">(6.ª ed.). McGraw-Hill Interamericana.</w:t>
      </w:r>
    </w:p>
    <w:bookmarkEnd w:id="87"/>
    <w:bookmarkStart w:id="88" w:name="ref-jimenez2008"/>
    <w:p>
      <w:pPr>
        <w:pStyle w:val="Bibliography"/>
        <w:spacing w:after="120"/>
        <w:ind w:left="720" w:hanging="720"/>
        <w:jc w:val="left"/>
      </w:pPr>
      <w:r>
        <w:t xml:space="preserve">Jiménez Becerra, A. (2008). El estado del arte y la investigación de la investigación: Reflexiones metodológicas. En A. Jiménez Becerra &amp; A. Torres Carrillo (Eds.),</w:t>
      </w:r>
      <w:r>
        <w:t xml:space="preserve"> </w:t>
      </w:r>
      <w:r>
        <w:rPr>
          <w:i/>
          <w:iCs/>
        </w:rPr>
        <w:t xml:space="preserve">La práctica investigativa en ciencias sociales</w:t>
      </w:r>
      <w:r>
        <w:t xml:space="preserve"> </w:t>
      </w:r>
      <w:r>
        <w:t xml:space="preserve">(pp. 27-42). Universidad Pedagógica Nacional / CLACSO.</w:t>
      </w:r>
    </w:p>
    <w:bookmarkEnd w:id="88"/>
    <w:bookmarkStart w:id="89" w:name="ref-lepsinger2009"/>
    <w:p>
      <w:pPr>
        <w:pStyle w:val="Bibliography"/>
        <w:spacing w:after="120"/>
        <w:ind w:left="720" w:hanging="720"/>
        <w:jc w:val="left"/>
      </w:pPr>
      <w:r>
        <w:t xml:space="preserve">Lepsinger, R., &amp; Lucia, A. D. (2009).</w:t>
      </w:r>
      <w:r>
        <w:t xml:space="preserve"> </w:t>
      </w:r>
      <w:r>
        <w:rPr>
          <w:i/>
          <w:iCs/>
        </w:rPr>
        <w:t xml:space="preserve">The art and science of 360 degree feedback</w:t>
      </w:r>
      <w:r>
        <w:t xml:space="preserve"> </w:t>
      </w:r>
      <w:r>
        <w:t xml:space="preserve">(2.ª ed.). Pfeiffer.</w:t>
      </w:r>
    </w:p>
    <w:bookmarkEnd w:id="89"/>
    <w:bookmarkStart w:id="90" w:name="ref-ministerio1995"/>
    <w:p>
      <w:pPr>
        <w:pStyle w:val="Bibliography"/>
        <w:spacing w:after="120"/>
        <w:ind w:left="720" w:hanging="720"/>
        <w:jc w:val="left"/>
      </w:pPr>
      <w:r>
        <w:t xml:space="preserve">Ley N° 24.521 de Educación Superior (1995).</w:t>
      </w:r>
    </w:p>
    <w:bookmarkEnd w:id="90"/>
    <w:bookmarkStart w:id="91" w:name="ref-ley25326"/>
    <w:p>
      <w:pPr>
        <w:pStyle w:val="Bibliography"/>
        <w:spacing w:after="120"/>
        <w:ind w:left="720" w:hanging="720"/>
        <w:jc w:val="left"/>
      </w:pPr>
      <w:r>
        <w:t xml:space="preserve">Ley N° 25.326: Protección de los Datos Personales (2000).</w:t>
      </w:r>
    </w:p>
    <w:bookmarkEnd w:id="91"/>
    <w:bookmarkStart w:id="92" w:name="ref-longo2006"/>
    <w:p>
      <w:pPr>
        <w:pStyle w:val="Bibliography"/>
        <w:spacing w:after="120"/>
        <w:ind w:left="720" w:hanging="720"/>
        <w:jc w:val="left"/>
      </w:pPr>
      <w:r>
        <w:t xml:space="preserve">Longo, F. (2006).</w:t>
      </w:r>
      <w:r>
        <w:t xml:space="preserve"> </w:t>
      </w:r>
      <w:r>
        <w:rPr>
          <w:i/>
          <w:iCs/>
        </w:rPr>
        <w:t xml:space="preserve">Mérito y flexibilidad: La gestión de las personas en las organizaciones del sector público</w:t>
      </w:r>
      <w:r>
        <w:t xml:space="preserve">. Paidós.</w:t>
      </w:r>
    </w:p>
    <w:bookmarkEnd w:id="92"/>
    <w:bookmarkStart w:id="93" w:name="ref-marquina2012"/>
    <w:p>
      <w:pPr>
        <w:pStyle w:val="Bibliography"/>
        <w:spacing w:after="120"/>
        <w:ind w:left="720" w:hanging="720"/>
        <w:jc w:val="left"/>
      </w:pPr>
      <w:r>
        <w:t xml:space="preserve">Marquina, M. (2012). ¿Hay un nuevo modelo de profesión académica en Argentina? Debates y tendencias en la universidad pública.</w:t>
      </w:r>
      <w:r>
        <w:t xml:space="preserve"> </w:t>
      </w:r>
      <w:r>
        <w:rPr>
          <w:i/>
          <w:iCs/>
        </w:rPr>
        <w:t xml:space="preserve">Pensamiento Universitario</w:t>
      </w:r>
      <w:r>
        <w:t xml:space="preserve">,</w:t>
      </w:r>
      <w:r>
        <w:t xml:space="preserve"> </w:t>
      </w:r>
      <w:r>
        <w:rPr>
          <w:i/>
          <w:iCs/>
        </w:rPr>
        <w:t xml:space="preserve">15</w:t>
      </w:r>
      <w:r>
        <w:t xml:space="preserve">(15), 35-48.</w:t>
      </w:r>
    </w:p>
    <w:bookmarkEnd w:id="93"/>
    <w:bookmarkStart w:id="94" w:name="ref-matus1993"/>
    <w:p>
      <w:pPr>
        <w:pStyle w:val="Bibliography"/>
        <w:spacing w:after="120"/>
        <w:ind w:left="720" w:hanging="720"/>
        <w:jc w:val="left"/>
      </w:pPr>
      <w:r>
        <w:t xml:space="preserve">Matus, C. (1993).</w:t>
      </w:r>
      <w:r>
        <w:t xml:space="preserve"> </w:t>
      </w:r>
      <w:r>
        <w:rPr>
          <w:i/>
          <w:iCs/>
        </w:rPr>
        <w:t xml:space="preserve">Política, planificación y gobierno</w:t>
      </w:r>
      <w:r>
        <w:t xml:space="preserve">. Fundación ALTIDIR.</w:t>
      </w:r>
    </w:p>
    <w:bookmarkEnd w:id="94"/>
    <w:bookmarkStart w:id="96" w:name="ref-obando2014"/>
    <w:p>
      <w:pPr>
        <w:pStyle w:val="Bibliography"/>
        <w:spacing w:after="120"/>
        <w:ind w:left="720" w:hanging="720"/>
        <w:jc w:val="left"/>
      </w:pPr>
      <w:r>
        <w:t xml:space="preserve">Obando Freire, F., López Fernández, R., Luna Álvarez, D., Luna Álvarez, E., Luna Álvarez, W., &amp; Alpizar Fernández, R. (2014). Sistema de evaluación docente mediante el modelo 360 grados y el portafolio electrónico.</w:t>
      </w:r>
      <w:r>
        <w:t xml:space="preserve"> </w:t>
      </w:r>
      <w:r>
        <w:rPr>
          <w:i/>
          <w:iCs/>
        </w:rPr>
        <w:t xml:space="preserve">Medisur</w:t>
      </w:r>
      <w:r>
        <w:t xml:space="preserve">,</w:t>
      </w:r>
      <w:r>
        <w:t xml:space="preserve"> </w:t>
      </w:r>
      <w:r>
        <w:rPr>
          <w:i/>
          <w:iCs/>
        </w:rPr>
        <w:t xml:space="preserve">12</w:t>
      </w:r>
      <w:r>
        <w:t xml:space="preserve">(1), 334-339.</w:t>
      </w:r>
      <w:r>
        <w:t xml:space="preserve"> </w:t>
      </w:r>
      <w:hyperlink r:id="rId95">
        <w:r>
          <w:rPr>
            <w:rStyle w:val="Hyperlink"/>
          </w:rPr>
          <w:t xml:space="preserve">https://medisur.sld.cu/index.php/medisur/article/view/2749</w:t>
        </w:r>
      </w:hyperlink>
    </w:p>
    <w:bookmarkEnd w:id="96"/>
    <w:bookmarkStart w:id="97" w:name="ref-oszlak2020"/>
    <w:p>
      <w:pPr>
        <w:pStyle w:val="Bibliography"/>
        <w:spacing w:after="120"/>
        <w:ind w:left="720" w:hanging="720"/>
        <w:jc w:val="left"/>
      </w:pPr>
      <w:r>
        <w:t xml:space="preserve">Oszlak, O. (2020).</w:t>
      </w:r>
      <w:r>
        <w:t xml:space="preserve"> </w:t>
      </w:r>
      <w:r>
        <w:rPr>
          <w:i/>
          <w:iCs/>
        </w:rPr>
        <w:t xml:space="preserve">El Estado en la era exponencial</w:t>
      </w:r>
      <w:r>
        <w:t xml:space="preserve">. Instituto Nacional de la Administración Pública.</w:t>
      </w:r>
    </w:p>
    <w:bookmarkEnd w:id="97"/>
    <w:bookmarkStart w:id="98" w:name="ref-perez2021"/>
    <w:p>
      <w:pPr>
        <w:pStyle w:val="Bibliography"/>
        <w:spacing w:after="120"/>
        <w:ind w:left="720" w:hanging="720"/>
        <w:jc w:val="left"/>
      </w:pPr>
      <w:r>
        <w:t xml:space="preserve">Pérez, M., González, J., &amp; Castro, L. (2021). Evaluación 360° de las tutorías presenciales y en línea en universidades públicas.</w:t>
      </w:r>
      <w:r>
        <w:t xml:space="preserve"> </w:t>
      </w:r>
      <w:r>
        <w:rPr>
          <w:i/>
          <w:iCs/>
        </w:rPr>
        <w:t xml:space="preserve">Unaciencia: Revista de Estudios e Investigaciones</w:t>
      </w:r>
      <w:r>
        <w:t xml:space="preserve">,</w:t>
      </w:r>
      <w:r>
        <w:t xml:space="preserve"> </w:t>
      </w:r>
      <w:r>
        <w:rPr>
          <w:i/>
          <w:iCs/>
        </w:rPr>
        <w:t xml:space="preserve">14</w:t>
      </w:r>
      <w:r>
        <w:t xml:space="preserve">(26), 45-58.</w:t>
      </w:r>
    </w:p>
    <w:bookmarkEnd w:id="98"/>
    <w:bookmarkStart w:id="100" w:name="ref-reyes2020"/>
    <w:p>
      <w:pPr>
        <w:pStyle w:val="Bibliography"/>
        <w:spacing w:after="120"/>
        <w:ind w:left="720" w:hanging="720"/>
        <w:jc w:val="left"/>
      </w:pPr>
      <w:r>
        <w:t xml:space="preserve">Reyes, C., &amp; Díaz, Á. (2020). Metaevaluación del sistema de evaluación docente en una universidad pública.</w:t>
      </w:r>
      <w:r>
        <w:t xml:space="preserve"> </w:t>
      </w:r>
      <w:r>
        <w:rPr>
          <w:i/>
          <w:iCs/>
        </w:rPr>
        <w:t xml:space="preserve">Education Policy Analysis Archives</w:t>
      </w:r>
      <w:r>
        <w:t xml:space="preserve">,</w:t>
      </w:r>
      <w:r>
        <w:t xml:space="preserve"> </w:t>
      </w:r>
      <w:r>
        <w:rPr>
          <w:i/>
          <w:iCs/>
        </w:rPr>
        <w:t xml:space="preserve">28</w:t>
      </w:r>
      <w:r>
        <w:t xml:space="preserve">(85), 1-25.</w:t>
      </w:r>
      <w:r>
        <w:t xml:space="preserve"> </w:t>
      </w:r>
      <w:hyperlink r:id="rId99">
        <w:r>
          <w:rPr>
            <w:rStyle w:val="Hyperlink"/>
          </w:rPr>
          <w:t xml:space="preserve">https://doi.org/10.14507/epaa.28.5142</w:t>
        </w:r>
      </w:hyperlink>
    </w:p>
    <w:bookmarkEnd w:id="100"/>
    <w:bookmarkStart w:id="101" w:name="ref-sautu2005"/>
    <w:p>
      <w:pPr>
        <w:pStyle w:val="Bibliography"/>
        <w:spacing w:after="120"/>
        <w:ind w:left="720" w:hanging="720"/>
        <w:jc w:val="left"/>
      </w:pPr>
      <w:r>
        <w:t xml:space="preserve">Sautu, R. (2005).</w:t>
      </w:r>
      <w:r>
        <w:t xml:space="preserve"> </w:t>
      </w:r>
      <w:r>
        <w:rPr>
          <w:i/>
          <w:iCs/>
        </w:rPr>
        <w:t xml:space="preserve">Todo es teoría: objetivos y métodos de investigación</w:t>
      </w:r>
      <w:r>
        <w:t xml:space="preserve">. Lumiere.</w:t>
      </w:r>
    </w:p>
    <w:bookmarkEnd w:id="101"/>
    <w:bookmarkStart w:id="103" w:name="ref-sifuentes2016"/>
    <w:p>
      <w:pPr>
        <w:pStyle w:val="Bibliography"/>
        <w:spacing w:after="120"/>
        <w:ind w:left="720" w:hanging="720"/>
        <w:jc w:val="left"/>
      </w:pPr>
      <w:r>
        <w:t xml:space="preserve">Sifuentes Ocegueda, A. T., Suárez Flores, M., &amp; Lara González, L. M. (2016). La evaluación de 360° aplicada al personal docente de nivel superior.</w:t>
      </w:r>
      <w:r>
        <w:t xml:space="preserve"> </w:t>
      </w:r>
      <w:r>
        <w:rPr>
          <w:i/>
          <w:iCs/>
        </w:rPr>
        <w:t xml:space="preserve">Revista de Investigación en Tecnologías de la Información (RITI)</w:t>
      </w:r>
      <w:r>
        <w:t xml:space="preserve">,</w:t>
      </w:r>
      <w:r>
        <w:t xml:space="preserve"> </w:t>
      </w:r>
      <w:r>
        <w:rPr>
          <w:i/>
          <w:iCs/>
        </w:rPr>
        <w:t xml:space="preserve">4</w:t>
      </w:r>
      <w:r>
        <w:t xml:space="preserve">(7), 17-26.</w:t>
      </w:r>
      <w:r>
        <w:t xml:space="preserve"> </w:t>
      </w:r>
      <w:hyperlink r:id="rId102">
        <w:r>
          <w:rPr>
            <w:rStyle w:val="Hyperlink"/>
          </w:rPr>
          <w:t xml:space="preserve">https://dialnet.unirioja.es/servlet/articulo?codigo=7242790</w:t>
        </w:r>
      </w:hyperlink>
    </w:p>
    <w:bookmarkEnd w:id="103"/>
    <w:bookmarkStart w:id="105" w:name="ref-torraco2016"/>
    <w:p>
      <w:pPr>
        <w:pStyle w:val="Bibliography"/>
        <w:spacing w:after="120"/>
        <w:ind w:left="720" w:hanging="720"/>
        <w:jc w:val="left"/>
      </w:pPr>
      <w:r>
        <w:t xml:space="preserve">Torraco, R. J. (2016). Writing integrative literature reviews: Using the past and present to explore the future.</w:t>
      </w:r>
      <w:r>
        <w:t xml:space="preserve"> </w:t>
      </w:r>
      <w:r>
        <w:rPr>
          <w:i/>
          <w:iCs/>
        </w:rPr>
        <w:t xml:space="preserve">Human Resource Development Review</w:t>
      </w:r>
      <w:r>
        <w:t xml:space="preserve">,</w:t>
      </w:r>
      <w:r>
        <w:t xml:space="preserve"> </w:t>
      </w:r>
      <w:r>
        <w:rPr>
          <w:i/>
          <w:iCs/>
        </w:rPr>
        <w:t xml:space="preserve">15</w:t>
      </w:r>
      <w:r>
        <w:t xml:space="preserve">(4), 404-428.</w:t>
      </w:r>
      <w:r>
        <w:t xml:space="preserve"> </w:t>
      </w:r>
      <w:hyperlink r:id="rId104">
        <w:r>
          <w:rPr>
            <w:rStyle w:val="Hyperlink"/>
          </w:rPr>
          <w:t xml:space="preserve">https://doi.org/10.1177/1534484316671606</w:t>
        </w:r>
      </w:hyperlink>
    </w:p>
    <w:bookmarkEnd w:id="105"/>
    <w:bookmarkStart w:id="107" w:name="ref-unco1997"/>
    <w:p>
      <w:pPr>
        <w:pStyle w:val="Bibliography"/>
        <w:spacing w:after="120"/>
        <w:ind w:left="720" w:hanging="720"/>
        <w:jc w:val="left"/>
      </w:pPr>
      <w:r>
        <w:t xml:space="preserve">Universidad Nacional del Comahue. (1997).</w:t>
      </w:r>
      <w:r>
        <w:t xml:space="preserve"> </w:t>
      </w:r>
      <w:r>
        <w:rPr>
          <w:i/>
          <w:iCs/>
        </w:rPr>
        <w:t xml:space="preserve">Ordenanza CS N° 0910/1997: Reglamento de Carrera Docente</w:t>
      </w:r>
      <w:r>
        <w:t xml:space="preserve">. Consejo Superior, Universidad Nacional del Comahue.</w:t>
      </w:r>
      <w:r>
        <w:t xml:space="preserve"> </w:t>
      </w:r>
      <w:hyperlink r:id="rId106">
        <w:r>
          <w:rPr>
            <w:rStyle w:val="Hyperlink"/>
          </w:rPr>
          <w:t xml:space="preserve">https://fatu-uncoma.com.ar/fatu/wp-content/uploads/2024/03/0910-1997-Reglamento-de-carrera-docente.pdf</w:t>
        </w:r>
      </w:hyperlink>
    </w:p>
    <w:bookmarkEnd w:id="107"/>
    <w:bookmarkStart w:id="109" w:name="ref-unco2025"/>
    <w:p>
      <w:pPr>
        <w:pStyle w:val="Bibliography"/>
        <w:spacing w:after="120"/>
        <w:ind w:left="720" w:hanging="720"/>
        <w:jc w:val="left"/>
      </w:pPr>
      <w:r>
        <w:t xml:space="preserve">Universidad Nacional del Comahue. (2025).</w:t>
      </w:r>
      <w:r>
        <w:t xml:space="preserve"> </w:t>
      </w:r>
      <w:r>
        <w:rPr>
          <w:i/>
          <w:iCs/>
        </w:rPr>
        <w:t xml:space="preserve">Ordenanza CS N° 0988/2025: Texto ordenado del Estatuto de la Universidad Nacional del Comahue (Título X: De la Carrera Docente)</w:t>
      </w:r>
      <w:r>
        <w:t xml:space="preserve">. Consejo Superior, Universidad Nacional del Comahue.</w:t>
      </w:r>
      <w:r>
        <w:t xml:space="preserve"> </w:t>
      </w:r>
      <w:hyperlink r:id="rId108">
        <w:r>
          <w:rPr>
            <w:rStyle w:val="Hyperlink"/>
          </w:rPr>
          <w:t xml:space="preserve">https://academica.uncoma.edu.ar/wp-content/uploads/2025/08/ord_988_2025_55.pdf</w:t>
        </w:r>
      </w:hyperlink>
    </w:p>
    <w:bookmarkEnd w:id="109"/>
    <w:bookmarkStart w:id="110" w:name="ref-wainerman2011"/>
    <w:p>
      <w:pPr>
        <w:pStyle w:val="Bibliography"/>
        <w:spacing w:after="120"/>
        <w:ind w:left="720" w:hanging="720"/>
        <w:jc w:val="left"/>
      </w:pPr>
      <w:r>
        <w:t xml:space="preserve">Wainerman, C., &amp; Sautu, R. (2011).</w:t>
      </w:r>
      <w:r>
        <w:t xml:space="preserve"> </w:t>
      </w:r>
      <w:r>
        <w:rPr>
          <w:i/>
          <w:iCs/>
        </w:rPr>
        <w:t xml:space="preserve">La trastienda de la investigación</w:t>
      </w:r>
      <w:r>
        <w:t xml:space="preserve"> </w:t>
      </w:r>
      <w:r>
        <w:t xml:space="preserve">(4.ª ed.). Manantial.</w:t>
      </w:r>
    </w:p>
    <w:bookmarkEnd w:id="110"/>
    <w:bookmarkEnd w:id="111"/>
    <w:p>
      <w:r>
        <w:br w:type="page"/>
      </w:r>
    </w:p>
    <w:bookmarkEnd w:id="112"/>
    <w:bookmarkStart w:id="120" w:name="anexos-metodológicos"/>
    <w:p>
      <w:pPr>
        <w:pStyle w:val="Heading1"/>
        <w:keepNext/>
        <w:spacing w:before="240" w:after="120" w:line="300" w:lineRule="auto"/>
        <w:ind w:left="720" w:hanging="720"/>
        <w:jc w:val="left"/>
      </w:pPr>
      <w:r>
        <w:rPr>
          <w:rFonts w:ascii="Arial" w:hAnsi="Arial"/>
          <w:b/>
          <w:sz w:val="28"/>
        </w:rPr>
        <w:t xml:space="preserve">Anexos Metodológicos</w:t>
      </w:r>
    </w:p>
    <w:bookmarkStart w:id="116" w:name="X8a4bd6135b680293145e26a5b92e72f8957a555"/>
    <w:p>
      <w:pPr>
        <w:pStyle w:val="Heading3"/>
        <w:keepNext/>
        <w:spacing w:before="160" w:after="120" w:line="300" w:lineRule="auto"/>
        <w:ind w:left="720" w:hanging="720"/>
        <w:jc w:val="left"/>
      </w:pPr>
      <w:r>
        <w:rPr>
          <w:rFonts w:ascii="Arial" w:hAnsi="Arial"/>
          <w:b/>
          <w:i/>
          <w:sz w:val="24"/>
        </w:rPr>
        <w:t xml:space="preserve">Anexo I: Guía Temática de Entrevista Semiestructurada</w:t>
      </w:r>
    </w:p>
    <w:p>
      <w:pPr>
        <w:pStyle w:val="FirstParagraph"/>
        <w:spacing w:after="120"/>
        <w:ind w:left="720" w:hanging="720"/>
        <w:jc w:val="left"/>
      </w:pPr>
      <w:r>
        <w:rPr>
          <w:b/>
          <w:bCs/>
        </w:rPr>
        <w:t xml:space="preserve">Proyecto:</w:t>
      </w:r>
      <w:r>
        <w:t xml:space="preserve"> </w:t>
      </w:r>
      <w:r>
        <w:rPr>
          <w:i/>
          <w:iCs/>
        </w:rPr>
        <w:t xml:space="preserve">Evaluación del Desempeño Docente y Factibilidad de un Modelo de Retroalimentación 360° en el Departamento de Administración Pública del CURZAS-UNCo (2027)</w:t>
      </w:r>
      <w:r>
        <w:br/>
      </w:r>
      <w:r>
        <w:rPr>
          <w:b/>
          <w:bCs/>
        </w:rPr>
        <w:t xml:space="preserve">Investigador:</w:t>
      </w:r>
      <w:r>
        <w:t xml:space="preserve"> </w:t>
      </w:r>
      <w:r>
        <w:t xml:space="preserve">Tec. Sup. Héctor Daniel Ayarachi Fuentes</w:t>
      </w:r>
    </w:p>
    <w:p>
      <w:pPr>
        <w:pStyle w:val="BodyText"/>
        <w:spacing w:after="120"/>
        <w:ind w:left="720" w:hanging="720"/>
        <w:jc w:val="left"/>
      </w:pPr>
      <w:r>
        <w:rPr>
          <w:i/>
          <w:iCs/>
        </w:rPr>
        <w:t xml:space="preserve">Objetivo:</w:t>
      </w:r>
      <w:r>
        <w:t xml:space="preserve"> </w:t>
      </w:r>
      <w:r>
        <w:t xml:space="preserve">Relevar opiniones, percepciones y juicios críticos sobre los mecanismos actuales de evaluación docente y las condiciones de factibilidad para un circuito formativo 360° adaptado a la singularidad institucional.</w:t>
      </w:r>
    </w:p>
    <w:bookmarkStart w:id="113" w:name="X3d0159f788aeb954922d9917573028760542890"/>
    <w:p>
      <w:pPr>
        <w:pStyle w:val="Heading4"/>
        <w:spacing w:after="120"/>
        <w:ind w:left="720" w:hanging="720"/>
        <w:jc w:val="left"/>
      </w:pPr>
      <w:r>
        <w:t xml:space="preserve">Bloque A: Guía Temática para Docentes de Cátedra y Autoridades Académicas</w:t>
      </w:r>
    </w:p>
    <w:p>
      <w:pPr>
        <w:pStyle w:val="Compact"/>
        <w:numPr>
          <w:ilvl w:val="0"/>
          <w:numId w:val="1032"/>
        </w:numPr>
        <w:spacing w:after="120"/>
        <w:ind w:left="720" w:hanging="720"/>
        <w:jc w:val="left"/>
      </w:pPr>
      <w:r>
        <w:rPr>
          <w:b/>
          <w:bCs/>
        </w:rPr>
        <w:t xml:space="preserve">Evaluación vigente:</w:t>
      </w:r>
      <w:r>
        <w:t xml:space="preserve"> </w:t>
      </w:r>
      <w:r>
        <w:t xml:space="preserve">¿Qué balance realiza de los instrumentos actuales (informes anuales, encuestas estudiantiles y evaluaciones cuatrienales de permanencia)?</w:t>
      </w:r>
    </w:p>
    <w:p>
      <w:pPr>
        <w:pStyle w:val="Compact"/>
        <w:numPr>
          <w:ilvl w:val="0"/>
          <w:numId w:val="1032"/>
        </w:numPr>
        <w:spacing w:after="120"/>
        <w:ind w:left="720" w:hanging="720"/>
        <w:jc w:val="left"/>
      </w:pPr>
      <w:r>
        <w:rPr>
          <w:b/>
          <w:bCs/>
        </w:rPr>
        <w:t xml:space="preserve">Uso pedagógico:</w:t>
      </w:r>
      <w:r>
        <w:t xml:space="preserve"> </w:t>
      </w:r>
      <w:r>
        <w:t xml:space="preserve">¿En qué medida considera que las opiniones estudiantiles actuales se traducen en mejoras de la enseñanza o en planes de capacitación?</w:t>
      </w:r>
    </w:p>
    <w:p>
      <w:pPr>
        <w:pStyle w:val="Compact"/>
        <w:numPr>
          <w:ilvl w:val="0"/>
          <w:numId w:val="1032"/>
        </w:numPr>
        <w:spacing w:after="120"/>
        <w:ind w:left="720" w:hanging="720"/>
        <w:jc w:val="left"/>
      </w:pPr>
      <w:r>
        <w:rPr>
          <w:b/>
          <w:bCs/>
        </w:rPr>
        <w:t xml:space="preserve">Autoevaluación:</w:t>
      </w:r>
      <w:r>
        <w:t xml:space="preserve"> </w:t>
      </w:r>
      <w:r>
        <w:t xml:space="preserve">¿Realiza habitualmente instancias de autorreflexión sobre su práctica pedagógica? ¿Qué utilidad le asigna a formalizar dicha instancia?</w:t>
      </w:r>
    </w:p>
    <w:p>
      <w:pPr>
        <w:pStyle w:val="Compact"/>
        <w:numPr>
          <w:ilvl w:val="0"/>
          <w:numId w:val="1032"/>
        </w:numPr>
        <w:spacing w:after="120"/>
        <w:ind w:left="720" w:hanging="720"/>
        <w:jc w:val="left"/>
      </w:pPr>
      <w:r>
        <w:rPr>
          <w:b/>
          <w:bCs/>
        </w:rPr>
        <w:t xml:space="preserve">Mirada de pares y cátedras unipersonales:</w:t>
      </w:r>
      <w:r>
        <w:t xml:space="preserve"> </w:t>
      </w:r>
      <w:r>
        <w:t xml:space="preserve">¿Qué condiciones de confianza institucional considera necesarias para que la coevaluación entre colegas sea constructiva? En asignaturas de docente único, ¿ve viable la coevaluación horizontal entre pares de materias afines del mismo tramo curricular?</w:t>
      </w:r>
    </w:p>
    <w:p>
      <w:pPr>
        <w:pStyle w:val="Compact"/>
        <w:numPr>
          <w:ilvl w:val="0"/>
          <w:numId w:val="1032"/>
        </w:numPr>
        <w:spacing w:after="120"/>
        <w:ind w:left="720" w:hanging="720"/>
        <w:jc w:val="left"/>
      </w:pPr>
      <w:r>
        <w:rPr>
          <w:b/>
          <w:bCs/>
        </w:rPr>
        <w:t xml:space="preserve">Nodos Territoriales:</w:t>
      </w:r>
      <w:r>
        <w:t xml:space="preserve"> </w:t>
      </w:r>
      <w:r>
        <w:t xml:space="preserve">En asignaturas con modalidad híbrida en la Línea Sur y Costa Atlántica, ¿qué aspectos de la labor docente (tutoría virtual, diseño de recursos) deberían valorarse de forma diferenciada?</w:t>
      </w:r>
    </w:p>
    <w:p>
      <w:pPr>
        <w:pStyle w:val="Compact"/>
        <w:numPr>
          <w:ilvl w:val="0"/>
          <w:numId w:val="1032"/>
        </w:numPr>
        <w:spacing w:after="120"/>
        <w:ind w:left="720" w:hanging="720"/>
        <w:jc w:val="left"/>
      </w:pPr>
      <w:r>
        <w:rPr>
          <w:b/>
          <w:bCs/>
        </w:rPr>
        <w:t xml:space="preserve">Resguardos necesarios:</w:t>
      </w:r>
      <w:r>
        <w:t xml:space="preserve"> </w:t>
      </w:r>
      <w:r>
        <w:t xml:space="preserve">¿Qué salvaguardas (anonimato, voluntariedad, desvinculación de legajos sumativos) considera indispensables para legitimar una propuesta de este tipo?</w:t>
      </w:r>
    </w:p>
    <w:p>
      <w:pPr>
        <w:pStyle w:val="Compact"/>
        <w:numPr>
          <w:ilvl w:val="0"/>
          <w:numId w:val="1032"/>
        </w:numPr>
        <w:spacing w:after="120"/>
        <w:ind w:left="720" w:hanging="720"/>
        <w:jc w:val="left"/>
      </w:pPr>
      <w:r>
        <w:rPr>
          <w:b/>
          <w:bCs/>
        </w:rPr>
        <w:t xml:space="preserve">Articulación departamental:</w:t>
      </w:r>
      <w:r>
        <w:t xml:space="preserve"> </w:t>
      </w:r>
      <w:r>
        <w:t xml:space="preserve">¿De qué forma deberían vincularse los resultados con el Programa Anual de Capacitación Docente (Art. 76 del Estatuto UNCo)?</w:t>
      </w:r>
    </w:p>
    <w:bookmarkEnd w:id="113"/>
    <w:bookmarkStart w:id="114" w:name="X0f5478bf378498a567f3b1fa4c8b45406ac87b1"/>
    <w:p>
      <w:pPr>
        <w:pStyle w:val="Heading4"/>
        <w:spacing w:after="120"/>
        <w:ind w:left="720" w:hanging="720"/>
        <w:jc w:val="left"/>
      </w:pPr>
      <w:r>
        <w:t xml:space="preserve">Bloque B: Preguntas Específicas para la Representación Gremial Paritaria (ADUNC)</w:t>
      </w:r>
    </w:p>
    <w:p>
      <w:pPr>
        <w:pStyle w:val="Compact"/>
        <w:numPr>
          <w:ilvl w:val="0"/>
          <w:numId w:val="1033"/>
        </w:numPr>
        <w:spacing w:after="120"/>
        <w:ind w:left="720" w:hanging="720"/>
        <w:jc w:val="left"/>
      </w:pPr>
      <w:r>
        <w:rPr>
          <w:b/>
          <w:bCs/>
        </w:rPr>
        <w:t xml:space="preserve">Compatibilidad normativa y estabilidad laboral:</w:t>
      </w:r>
      <w:r>
        <w:t xml:space="preserve"> </w:t>
      </w:r>
      <w:r>
        <w:t xml:space="preserve">¿Qué condiciones y salvaguardas paritarias considera prioritario establecer para asegurar la plena compatibilidad con los Arts. 74 y 75 del Estatuto UNCo y el Convenio Colectivo de Trabajo Docente (Decreto N° 1246/2015), blindando el carácter estrictamente formativo del modelo frente a cualquier uso sumativo o punitivo?</w:t>
      </w:r>
    </w:p>
    <w:p>
      <w:pPr>
        <w:pStyle w:val="Compact"/>
        <w:numPr>
          <w:ilvl w:val="0"/>
          <w:numId w:val="1033"/>
        </w:numPr>
        <w:spacing w:after="120"/>
        <w:ind w:left="720" w:hanging="720"/>
        <w:jc w:val="left"/>
      </w:pPr>
      <w:r>
        <w:rPr>
          <w:b/>
          <w:bCs/>
        </w:rPr>
        <w:t xml:space="preserve">Veeduría y custodia de datos:</w:t>
      </w:r>
      <w:r>
        <w:t xml:space="preserve"> </w:t>
      </w:r>
      <w:r>
        <w:t xml:space="preserve">¿Qué mecanismos de veeduría y gobernanza gremial deberían incorporarse en la administración y custodia técnica de los formularios para otorgar plena certeza de que los datos diagnósticos no serán transferidos a legajos ni utilizados por jurados de permanencia o acreditación?</w:t>
      </w:r>
    </w:p>
    <w:bookmarkEnd w:id="114"/>
    <w:bookmarkStart w:id="115" w:name="Xd8dec2b8a7f90a67e87e467aa5930d6b0d4f51b"/>
    <w:p>
      <w:pPr>
        <w:pStyle w:val="Heading4"/>
        <w:spacing w:after="120"/>
        <w:ind w:left="720" w:hanging="720"/>
        <w:jc w:val="left"/>
      </w:pPr>
      <w:r>
        <w:t xml:space="preserve">Bloque C: Preguntas Específicas para Estudiantes Avanzados</w:t>
      </w:r>
    </w:p>
    <w:p>
      <w:pPr>
        <w:pStyle w:val="Compact"/>
        <w:numPr>
          <w:ilvl w:val="0"/>
          <w:numId w:val="1034"/>
        </w:numPr>
        <w:spacing w:after="120"/>
        <w:ind w:left="720" w:hanging="720"/>
        <w:jc w:val="left"/>
      </w:pPr>
      <w:r>
        <w:rPr>
          <w:b/>
          <w:bCs/>
        </w:rPr>
        <w:t xml:space="preserve">Utilidad percibida de la evaluación actual:</w:t>
      </w:r>
      <w:r>
        <w:t xml:space="preserve"> </w:t>
      </w:r>
      <w:r>
        <w:t xml:space="preserve">En base a su trayectoria, ¿qué balance realiza de la utilidad pedagógica real de las encuestas estudiantiles obligatorias que se completan en SIU-Guaraní al término de cada cursada? ¿Considera que sus aportes inciden efectivamente en cambios o mejoras en la enseñanza?</w:t>
      </w:r>
    </w:p>
    <w:p>
      <w:pPr>
        <w:pStyle w:val="Compact"/>
        <w:numPr>
          <w:ilvl w:val="0"/>
          <w:numId w:val="1034"/>
        </w:numPr>
        <w:spacing w:after="120"/>
        <w:ind w:left="720" w:hanging="720"/>
        <w:jc w:val="left"/>
      </w:pPr>
      <w:r>
        <w:rPr>
          <w:b/>
          <w:bCs/>
        </w:rPr>
        <w:t xml:space="preserve">Condiciones para la retroalimentación constructiva:</w:t>
      </w:r>
      <w:r>
        <w:t xml:space="preserve"> </w:t>
      </w:r>
      <w:r>
        <w:t xml:space="preserve">¿Qué condiciones de anonimato y qué tipo de aspectos de la enseñanza (ej. claridad didáctica, acompañamiento tutorial virtual en Nodos, criterios de evaluación y devoluciones) considera más relevantes de incorporar en una retroalimentación formativa para opinar con sinceridad y compromiso?</w:t>
      </w:r>
    </w:p>
    <w:p>
      <w:r>
        <w:br w:type="page"/>
      </w:r>
    </w:p>
    <w:bookmarkEnd w:id="115"/>
    <w:bookmarkEnd w:id="116"/>
    <w:bookmarkStart w:id="117" w:name="Xed927c32308fb922173a9e4e6308883f42ff086"/>
    <w:p>
      <w:pPr>
        <w:pStyle w:val="Heading3"/>
        <w:keepNext/>
        <w:spacing w:before="160" w:after="120" w:line="300" w:lineRule="auto"/>
        <w:ind w:left="720" w:hanging="720"/>
        <w:jc w:val="left"/>
      </w:pPr>
      <w:r>
        <w:rPr>
          <w:rFonts w:ascii="Arial" w:hAnsi="Arial"/>
          <w:b/>
          <w:i/>
          <w:sz w:val="24"/>
        </w:rPr>
        <w:t xml:space="preserve">Anexo II: Cuestionario Exploratorio de Factibilidad (Escala Likert)</w:t>
      </w:r>
    </w:p>
    <w:p>
      <w:pPr>
        <w:pStyle w:val="FirstParagraph"/>
        <w:spacing w:after="120"/>
        <w:ind w:left="720" w:hanging="720"/>
        <w:jc w:val="left"/>
      </w:pPr>
      <w:r>
        <w:rPr>
          <w:i/>
          <w:iCs/>
        </w:rPr>
        <w:t xml:space="preserve">Instrucciones:</w:t>
      </w:r>
      <w:r>
        <w:t xml:space="preserve"> </w:t>
      </w:r>
      <w:r>
        <w:t xml:space="preserve">Indique su nivel de acuerdo marcando del 1 al 5 (1: Totalmente en desacuerdo; 2: En desacuerdo; 3: Ni de acuerdo ni en desacuerdo; 4: De acuerdo; 5: Totalmente de acuerdo).</w:t>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528"/>
        <w:gridCol w:w="5192"/>
        <w:gridCol w:w="440"/>
        <w:gridCol w:w="440"/>
        <w:gridCol w:w="440"/>
        <w:gridCol w:w="440"/>
        <w:gridCol w:w="440"/>
      </w:tblGrid>
      <w:tr>
        <w:trPr>
          <w:tblHeader w:val="on"/>
        </w:trPr>
        <w:tc>
          <w:tcPr>
            <w:tcBorders>
              <w:bottom w:val="single" w:sz="6" w:space="0" w:color="000000"/>
            </w:tcBorders>
          </w:tcPr>
          <w:p>
            <w:pPr>
              <w:pStyle w:val="Compact"/>
              <w:jc w:val="center"/>
            </w:pPr>
            <w:r>
              <w:t xml:space="preserve">N°</w:t>
            </w:r>
          </w:p>
        </w:tc>
        <w:tc>
          <w:tcPr>
            <w:tcBorders>
              <w:bottom w:val="single" w:sz="6" w:space="0" w:color="000000"/>
            </w:tcBorders>
          </w:tcPr>
          <w:p>
            <w:pPr>
              <w:pStyle w:val="Compact"/>
              <w:jc w:val="left"/>
            </w:pPr>
            <w:r>
              <w:t xml:space="preserve">Reactivo</w:t>
            </w:r>
          </w:p>
        </w:tc>
        <w:tc>
          <w:tcPr>
            <w:tcBorders>
              <w:bottom w:val="single" w:sz="6" w:space="0" w:color="000000"/>
            </w:tcBorders>
          </w:tcPr>
          <w:p>
            <w:pPr>
              <w:pStyle w:val="Compact"/>
              <w:jc w:val="center"/>
            </w:pPr>
            <w:r>
              <w:t xml:space="preserve">1</w:t>
            </w:r>
          </w:p>
        </w:tc>
        <w:tc>
          <w:tcPr>
            <w:tcBorders>
              <w:bottom w:val="single" w:sz="6" w:space="0" w:color="000000"/>
            </w:tcBorders>
          </w:tcPr>
          <w:p>
            <w:pPr>
              <w:pStyle w:val="Compact"/>
              <w:jc w:val="center"/>
            </w:pPr>
            <w:r>
              <w:t xml:space="preserve">2</w:t>
            </w:r>
          </w:p>
        </w:tc>
        <w:tc>
          <w:tcPr>
            <w:tcBorders>
              <w:bottom w:val="single" w:sz="6" w:space="0" w:color="000000"/>
            </w:tcBorders>
          </w:tcPr>
          <w:p>
            <w:pPr>
              <w:pStyle w:val="Compact"/>
              <w:jc w:val="center"/>
            </w:pPr>
            <w:r>
              <w:t xml:space="preserve">3</w:t>
            </w:r>
          </w:p>
        </w:tc>
        <w:tc>
          <w:tcPr>
            <w:tcBorders>
              <w:bottom w:val="single" w:sz="6" w:space="0" w:color="000000"/>
            </w:tcBorders>
          </w:tcPr>
          <w:p>
            <w:pPr>
              <w:pStyle w:val="Compact"/>
              <w:jc w:val="center"/>
            </w:pPr>
            <w:r>
              <w:t xml:space="preserve">4</w:t>
            </w:r>
          </w:p>
        </w:tc>
        <w:tc>
          <w:tcPr>
            <w:tcBorders>
              <w:bottom w:val="single" w:sz="6" w:space="0" w:color="000000"/>
            </w:tcBorders>
          </w:tcPr>
          <w:p>
            <w:pPr>
              <w:pStyle w:val="Compact"/>
              <w:jc w:val="center"/>
            </w:pPr>
            <w:r>
              <w:t xml:space="preserve">5</w:t>
            </w:r>
          </w:p>
        </w:tc>
      </w:tr>
      <w:tr>
        <w:tc>
          <w:tcPr/>
          <w:p>
            <w:pPr>
              <w:pStyle w:val="Compact"/>
              <w:jc w:val="center"/>
            </w:pPr>
            <w:r>
              <w:t xml:space="preserve">1</w:t>
            </w:r>
          </w:p>
        </w:tc>
        <w:tc>
          <w:tcPr/>
          <w:p>
            <w:pPr>
              <w:pStyle w:val="Compact"/>
              <w:jc w:val="left"/>
            </w:pPr>
            <w:r>
              <w:t xml:space="preserve">La evaluación docente debería orientarse prioritariamente al aprendizaje pedagógico continuo y no al control formal.</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2</w:t>
            </w:r>
          </w:p>
        </w:tc>
        <w:tc>
          <w:tcPr/>
          <w:p>
            <w:pPr>
              <w:pStyle w:val="Compact"/>
              <w:jc w:val="left"/>
            </w:pPr>
            <w:r>
              <w:t xml:space="preserve">Es indispensable que los reportes individuales no integren legajos de permanencia ni concursos laborales.</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3</w:t>
            </w:r>
          </w:p>
        </w:tc>
        <w:tc>
          <w:tcPr/>
          <w:p>
            <w:pPr>
              <w:pStyle w:val="Compact"/>
              <w:jc w:val="left"/>
            </w:pPr>
            <w:r>
              <w:t xml:space="preserve">Las plataformas institucionales (Moodle/SIU) son adecuadas para administrar cuestionarios anónimos.</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4</w:t>
            </w:r>
          </w:p>
        </w:tc>
        <w:tc>
          <w:tcPr/>
          <w:p>
            <w:pPr>
              <w:pStyle w:val="Compact"/>
              <w:jc w:val="left"/>
            </w:pPr>
            <w:r>
              <w:t xml:space="preserve">Confío en que el sistema informático puede garantizar el anonimato técnico de las respuestas.</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5</w:t>
            </w:r>
          </w:p>
        </w:tc>
        <w:tc>
          <w:tcPr/>
          <w:p>
            <w:pPr>
              <w:pStyle w:val="Compact"/>
              <w:jc w:val="left"/>
            </w:pPr>
            <w:r>
              <w:t xml:space="preserve">Un cuestionario breve (hasta 15 preguntas) es suficiente para evaluar la labor docente sin generar sobrecarga.</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6</w:t>
            </w:r>
          </w:p>
        </w:tc>
        <w:tc>
          <w:tcPr/>
          <w:p>
            <w:pPr>
              <w:pStyle w:val="Compact"/>
              <w:jc w:val="left"/>
            </w:pPr>
            <w:r>
              <w:t xml:space="preserve">El Departamento dispone de capacidad organizativa para coordinar devoluciones diagnósticas oportunas.</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7</w:t>
            </w:r>
          </w:p>
        </w:tc>
        <w:tc>
          <w:tcPr/>
          <w:p>
            <w:pPr>
              <w:pStyle w:val="Compact"/>
              <w:jc w:val="left"/>
            </w:pPr>
            <w:r>
              <w:t xml:space="preserve">Los resultados consolidados deberían alimentar el Programa Anual de Capacitación Docente (Art. 76).</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8</w:t>
            </w:r>
          </w:p>
        </w:tc>
        <w:tc>
          <w:tcPr/>
          <w:p>
            <w:pPr>
              <w:pStyle w:val="Compact"/>
              <w:jc w:val="left"/>
            </w:pPr>
            <w:r>
              <w:t xml:space="preserve">Estaría dispuesto/a a participar voluntariamente de una autoevaluación reflexiva sobre mi enseñanza.</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9</w:t>
            </w:r>
          </w:p>
        </w:tc>
        <w:tc>
          <w:tcPr/>
          <w:p>
            <w:pPr>
              <w:pStyle w:val="Compact"/>
              <w:jc w:val="left"/>
            </w:pPr>
            <w:r>
              <w:t xml:space="preserve">Considero enriquecedor recibir comentarios constructivos de colegas de cátedra sobre la labor docente.</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10</w:t>
            </w:r>
          </w:p>
        </w:tc>
        <w:tc>
          <w:tcPr/>
          <w:p>
            <w:pPr>
              <w:pStyle w:val="Compact"/>
              <w:jc w:val="left"/>
            </w:pPr>
            <w:r>
              <w:t xml:space="preserve">Los estudiantes cuentan con criterio suficiente para opinar con seriedad sobre el acompañamiento pedagógico.</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11</w:t>
            </w:r>
          </w:p>
        </w:tc>
        <w:tc>
          <w:tcPr/>
          <w:p>
            <w:pPr>
              <w:pStyle w:val="Compact"/>
              <w:jc w:val="left"/>
            </w:pPr>
            <w:r>
              <w:t xml:space="preserve">En el Departamento existe un clima de confianza que permite dialogar sobre fortalezas y dificultades didácticas.</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12</w:t>
            </w:r>
          </w:p>
        </w:tc>
        <w:tc>
          <w:tcPr/>
          <w:p>
            <w:pPr>
              <w:pStyle w:val="Compact"/>
              <w:jc w:val="left"/>
            </w:pPr>
            <w:r>
              <w:t xml:space="preserve">Una propuesta evaluativa formativa debe ser debatida previamente en el Consejo Departamental.</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13</w:t>
            </w:r>
          </w:p>
        </w:tc>
        <w:tc>
          <w:tcPr/>
          <w:p>
            <w:pPr>
              <w:pStyle w:val="Compact"/>
              <w:jc w:val="left"/>
            </w:pPr>
            <w:r>
              <w:t xml:space="preserve">El acuerdo de la representación gremial docente (ADUNC) es un requisito central para su viabilidad.</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14</w:t>
            </w:r>
          </w:p>
        </w:tc>
        <w:tc>
          <w:tcPr/>
          <w:p>
            <w:pPr>
              <w:pStyle w:val="Compact"/>
              <w:jc w:val="left"/>
            </w:pPr>
            <w:r>
              <w:t xml:space="preserve">En los Nodos Territoriales deben evaluarse aspectos específicos de tutoría y comunicación virtual.</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center"/>
            </w:pPr>
            <w:r>
              <w:t xml:space="preserve">15</w:t>
            </w:r>
          </w:p>
        </w:tc>
        <w:tc>
          <w:tcPr/>
          <w:p>
            <w:pPr>
              <w:pStyle w:val="Compact"/>
              <w:jc w:val="left"/>
            </w:pPr>
            <w:r>
              <w:t xml:space="preserve">Estaría dispuesto/a a participar de una experiencia piloto voluntaria de retroalimentación multiactoral.</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bl>
    <w:p>
      <w:pPr>
        <w:pStyle w:val="BodyText"/>
        <w:spacing w:after="120"/>
        <w:ind w:left="720" w:hanging="720"/>
        <w:jc w:val="left"/>
      </w:pPr>
      <w:r>
        <w:rPr>
          <w:i/>
          <w:iCs/>
        </w:rPr>
        <w:t xml:space="preserve">Nota.</w:t>
      </w:r>
      <w:r>
        <w:t xml:space="preserve"> </w:t>
      </w:r>
      <w:r>
        <w:t xml:space="preserve">En el formulario administrado al claustro estudiantil, los reactivos 8 y 9 se adaptan consultando sobre la utilidad percibida de la autoevaluación y coevaluación docente.</w:t>
      </w:r>
    </w:p>
    <w:p>
      <w:pPr>
        <w:pStyle w:val="BodyText"/>
        <w:spacing w:after="120"/>
        <w:ind w:left="720" w:hanging="720"/>
        <w:jc w:val="left"/>
      </w:pPr>
      <w:r>
        <w:rPr>
          <w:b/>
          <w:bCs/>
        </w:rPr>
        <w:t xml:space="preserve">Preguntas Abiertas Complementarias:</w:t>
      </w:r>
    </w:p>
    <w:p>
      <w:pPr>
        <w:numPr>
          <w:ilvl w:val="0"/>
          <w:numId w:val="1035"/>
        </w:numPr>
        <w:spacing w:after="120"/>
        <w:ind w:left="720" w:hanging="720"/>
        <w:jc w:val="left"/>
      </w:pPr>
      <w:r>
        <w:rPr>
          <w:b/>
          <w:bCs/>
        </w:rPr>
        <w:t xml:space="preserve">Pregunta abierta 1:</w:t>
      </w:r>
      <w:r>
        <w:t xml:space="preserve"> </w:t>
      </w:r>
      <w:r>
        <w:t xml:space="preserve">¿Qué condición o resguardo considera prioritario garantizar para participar con confianza en una instancia de retroalimentación docente?</w:t>
      </w:r>
      <w:r>
        <w:br/>
      </w:r>
      <w:r>
        <w:rPr>
          <w:i/>
          <w:iCs/>
        </w:rPr>
        <w:t xml:space="preserve">Respuesta:</w:t>
      </w:r>
      <w:r>
        <w:t xml:space="preserve"> </w:t>
      </w:r>
      <w:r>
        <w:rPr>
          <w:rStyle w:val="VerbatimChar"/>
        </w:rPr>
        <w:t xml:space="preserve">...........................................................................................................................................................</w:t>
      </w:r>
      <w:r>
        <w:br/>
      </w:r>
      <w:r>
        <w:rPr>
          <w:rStyle w:val="VerbatimChar"/>
        </w:rPr>
        <w:t xml:space="preserve">...........................................................................................................................................................</w:t>
      </w:r>
    </w:p>
    <w:p>
      <w:pPr>
        <w:numPr>
          <w:ilvl w:val="0"/>
          <w:numId w:val="1035"/>
        </w:numPr>
        <w:spacing w:after="120"/>
        <w:ind w:left="720" w:hanging="720"/>
        <w:jc w:val="left"/>
      </w:pPr>
      <w:r>
        <w:rPr>
          <w:b/>
          <w:bCs/>
        </w:rPr>
        <w:t xml:space="preserve">Pregunta abierta 2:</w:t>
      </w:r>
      <w:r>
        <w:t xml:space="preserve"> </w:t>
      </w:r>
      <w:r>
        <w:t xml:space="preserve">¿Qué aspectos específicos de la cursada (presencial en sede o híbrida en Nodos Territoriales) cree que no están siendo captados por las encuestas actuales?</w:t>
      </w:r>
      <w:r>
        <w:br/>
      </w:r>
      <w:r>
        <w:rPr>
          <w:i/>
          <w:iCs/>
        </w:rPr>
        <w:t xml:space="preserve">Respuesta:</w:t>
      </w:r>
      <w:r>
        <w:t xml:space="preserve"> </w:t>
      </w:r>
      <w:r>
        <w:rPr>
          <w:rStyle w:val="VerbatimChar"/>
        </w:rPr>
        <w:t xml:space="preserve">...........................................................................................................................................................</w:t>
      </w:r>
      <w:r>
        <w:br/>
      </w:r>
      <w:r>
        <w:rPr>
          <w:rStyle w:val="VerbatimChar"/>
        </w:rPr>
        <w:t xml:space="preserve">...........................................................................................................................................................</w:t>
      </w:r>
    </w:p>
    <w:p>
      <w:r>
        <w:br w:type="page"/>
      </w:r>
    </w:p>
    <w:bookmarkEnd w:id="117"/>
    <w:bookmarkStart w:id="118" w:name="X2fe5c967a6121280ba4c78ad136dc18f1f34381"/>
    <w:p>
      <w:pPr>
        <w:pStyle w:val="Heading3"/>
        <w:keepNext/>
        <w:spacing w:before="160" w:after="120" w:line="300" w:lineRule="auto"/>
        <w:ind w:left="720" w:hanging="720"/>
        <w:jc w:val="left"/>
      </w:pPr>
      <w:r>
        <w:rPr>
          <w:rFonts w:ascii="Arial" w:hAnsi="Arial"/>
          <w:b/>
          <w:i/>
          <w:sz w:val="24"/>
        </w:rPr>
        <w:t xml:space="preserve">Anexo III: Modelo de Nota Institucional de Solicitud de Aval Académico</w:t>
      </w:r>
    </w:p>
    <w:p>
      <w:pPr>
        <w:pStyle w:val="FirstParagraph"/>
        <w:spacing w:after="120"/>
        <w:ind w:left="720" w:hanging="720"/>
        <w:jc w:val="left"/>
      </w:pPr>
      <w:r>
        <w:rPr>
          <w:b/>
          <w:bCs/>
        </w:rPr>
        <w:t xml:space="preserve">SOLICITUD DE AVAL ACADÉMICO PARA INVESTIGACIÓN DE TFG</w:t>
      </w:r>
    </w:p>
    <w:p>
      <w:pPr>
        <w:pStyle w:val="BodyText"/>
        <w:spacing w:after="120"/>
        <w:ind w:left="720" w:hanging="720"/>
        <w:jc w:val="left"/>
      </w:pPr>
      <w:r>
        <w:t xml:space="preserve">Viedma, Río Negro, ______ de ________________ de 202___</w:t>
      </w:r>
    </w:p>
    <w:p>
      <w:pPr>
        <w:pStyle w:val="BodyText"/>
        <w:spacing w:after="120"/>
        <w:ind w:left="720" w:hanging="720"/>
        <w:jc w:val="left"/>
      </w:pPr>
      <w:r>
        <w:rPr>
          <w:b/>
          <w:bCs/>
        </w:rPr>
        <w:t xml:space="preserve">A la Dirección del Departamento de Administración Pública</w:t>
      </w:r>
      <w:r>
        <w:br/>
      </w:r>
      <w:r>
        <w:rPr>
          <w:b/>
          <w:bCs/>
        </w:rPr>
        <w:t xml:space="preserve">Complejo Universitario Regional Zona Atlántica y Sur (CURZAS — UNCo)</w:t>
      </w:r>
    </w:p>
    <w:p>
      <w:pPr>
        <w:pStyle w:val="BodyText"/>
        <w:spacing w:after="120"/>
        <w:ind w:left="720" w:hanging="720"/>
        <w:jc w:val="left"/>
      </w:pPr>
      <w:r>
        <w:t xml:space="preserve">De mi mayor consideración:</w:t>
      </w:r>
    </w:p>
    <w:p>
      <w:pPr>
        <w:pStyle w:val="BodyText"/>
        <w:spacing w:after="120"/>
        <w:ind w:left="720" w:hanging="720"/>
        <w:jc w:val="left"/>
      </w:pPr>
      <w:r>
        <w:t xml:space="preserve">Me dirijo a Usted como estudiante regular del Ciclo de Complementación Curricular de la Licenciatura en Gestión de Recursos Humanos (Legajo N° 8252 — DNI N° 35.492.138), en el marco de la formulación de mi Trabajo Final de Graduación para la asignatura</w:t>
      </w:r>
      <w:r>
        <w:t xml:space="preserve"> </w:t>
      </w:r>
      <w:r>
        <w:rPr>
          <w:i/>
          <w:iCs/>
        </w:rPr>
        <w:t xml:space="preserve">Seminario de Integración y Aplicación</w:t>
      </w:r>
      <w:r>
        <w:t xml:space="preserve"> </w:t>
      </w:r>
      <w:r>
        <w:t xml:space="preserve">(SIA 2025/2026), titulado:</w:t>
      </w:r>
    </w:p>
    <w:p>
      <w:pPr>
        <w:pStyle w:val="BodyText"/>
        <w:spacing w:after="120"/>
        <w:ind w:left="720" w:hanging="720"/>
        <w:jc w:val="left"/>
      </w:pPr>
      <w:r>
        <w:rPr>
          <w:b/>
          <w:bCs/>
        </w:rPr>
        <w:t xml:space="preserve">“Evaluación del Desempeño Docente y Factibilidad de Implementación de un Modelo de Retroalimentación 360° en el Departamento de Administración Pública del CURZAS-UNCo (2027)”</w:t>
      </w:r>
    </w:p>
    <w:p>
      <w:pPr>
        <w:pStyle w:val="BodyText"/>
        <w:spacing w:after="120"/>
        <w:ind w:left="720" w:hanging="720"/>
        <w:jc w:val="left"/>
      </w:pPr>
      <w:r>
        <w:t xml:space="preserve">Por la presente, solicito formalmente el correspondiente</w:t>
      </w:r>
      <w:r>
        <w:t xml:space="preserve"> </w:t>
      </w:r>
      <w:r>
        <w:rPr>
          <w:b/>
          <w:bCs/>
        </w:rPr>
        <w:t xml:space="preserve">aval institucional y autorización de acceso al campo</w:t>
      </w:r>
      <w:r>
        <w:t xml:space="preserve"> </w:t>
      </w:r>
      <w:r>
        <w:t xml:space="preserve">para llevar adelante las tareas de relevamiento previstas en el diseño:</w:t>
      </w:r>
    </w:p>
    <w:p>
      <w:pPr>
        <w:pStyle w:val="Compact"/>
        <w:numPr>
          <w:ilvl w:val="0"/>
          <w:numId w:val="1036"/>
        </w:numPr>
        <w:spacing w:after="120"/>
        <w:ind w:left="720" w:hanging="720"/>
        <w:jc w:val="left"/>
      </w:pPr>
      <w:r>
        <w:t xml:space="preserve">Consulta de documentación reglamentaria y programas de capacitación docente;</w:t>
      </w:r>
      <w:r>
        <w:br/>
      </w:r>
    </w:p>
    <w:p>
      <w:pPr>
        <w:pStyle w:val="Compact"/>
        <w:numPr>
          <w:ilvl w:val="0"/>
          <w:numId w:val="1036"/>
        </w:numPr>
        <w:spacing w:after="120"/>
        <w:ind w:left="720" w:hanging="720"/>
        <w:jc w:val="left"/>
      </w:pPr>
      <w:r>
        <w:t xml:space="preserve">Realización de entrevistas a informantes clave (autoridades, docentes y representantes gremiales);</w:t>
      </w:r>
      <w:r>
        <w:br/>
      </w:r>
    </w:p>
    <w:p>
      <w:pPr>
        <w:pStyle w:val="Compact"/>
        <w:numPr>
          <w:ilvl w:val="0"/>
          <w:numId w:val="1036"/>
        </w:numPr>
        <w:spacing w:after="120"/>
        <w:ind w:left="720" w:hanging="720"/>
        <w:jc w:val="left"/>
      </w:pPr>
      <w:r>
        <w:t xml:space="preserve">Administración de un sondeo digital anónimo y voluntario a docentes y estudiantes en sede Viedma y Nodos Territoriales.</w:t>
      </w:r>
    </w:p>
    <w:p>
      <w:pPr>
        <w:pStyle w:val="FirstParagraph"/>
        <w:spacing w:after="120"/>
        <w:ind w:left="720" w:hanging="720"/>
        <w:jc w:val="left"/>
      </w:pPr>
      <w:r>
        <w:t xml:space="preserve">Se garantiza que toda la información se tratará bajo estricto secreto estadístico (Ley N° 25.326) con fines exclusivamente diagnósticos y académicos, sin generar consecuencias laborales ni sumativas.</w:t>
      </w:r>
    </w:p>
    <w:p>
      <w:pPr>
        <w:pStyle w:val="BodyText"/>
        <w:spacing w:after="120"/>
        <w:ind w:left="720" w:hanging="720"/>
        <w:jc w:val="left"/>
      </w:pPr>
      <w:r>
        <w:t xml:space="preserve">Agradeciendo su atención, saludo a Usted atentamente.</w:t>
      </w:r>
    </w:p>
    <w:p>
      <w:pPr>
        <w:pStyle w:val="BodyText"/>
      </w:pPr>
      <w:r>
        <w:br/>
      </w:r>
      <w:r>
        <w:t xml:space="preserve"> </w:t>
      </w:r>
      <w:r>
        <w:br/>
      </w:r>
    </w:p>
    <w:p>
      <w:pPr>
        <w:pStyle w:val="BodyText"/>
        <w:spacing w:after="120"/>
        <w:ind w:left="720" w:hanging="720"/>
        <w:jc w:val="left"/>
      </w:pPr>
      <w:r>
        <w:t xml:space="preserve">………………………………………………………………………………………………….</w:t>
      </w:r>
      <w:r>
        <w:br/>
      </w:r>
      <w:r>
        <w:rPr>
          <w:b/>
          <w:bCs/>
        </w:rPr>
        <w:t xml:space="preserve">Tec. Sup. Héctor Daniel Ayarachi Fuentes</w:t>
      </w:r>
      <w:r>
        <w:br/>
      </w:r>
      <w:r>
        <w:t xml:space="preserve">Legajo N° 8252 — DNI N° 35.492.138</w:t>
      </w:r>
      <w:r>
        <w:br/>
      </w:r>
      <w:r>
        <w:t xml:space="preserve">Estudiante del CCC de la Licenciatura en Gestión de Recursos Humanos</w:t>
      </w:r>
      <w:r>
        <w:br/>
      </w:r>
      <w:r>
        <w:t xml:space="preserve">Departamento de Administración Pública — CURZAS-UNCo</w:t>
      </w:r>
    </w:p>
    <w:p>
      <w:r>
        <w:br w:type="page"/>
      </w:r>
    </w:p>
    <w:bookmarkEnd w:id="118"/>
    <w:bookmarkStart w:id="119" w:name="Xdd43486170bd3838ba53edb989ff446467f8d87"/>
    <w:p>
      <w:pPr>
        <w:pStyle w:val="Heading3"/>
        <w:keepNext/>
        <w:spacing w:before="160" w:after="120" w:line="300" w:lineRule="auto"/>
        <w:ind w:left="720" w:hanging="720"/>
        <w:jc w:val="left"/>
      </w:pPr>
      <w:r>
        <w:rPr>
          <w:rFonts w:ascii="Arial" w:hAnsi="Arial"/>
          <w:b/>
          <w:i/>
          <w:sz w:val="24"/>
        </w:rPr>
        <w:t xml:space="preserve">Anexo IV: Formulario de Consentimiento Informado</w:t>
      </w:r>
    </w:p>
    <w:p>
      <w:pPr>
        <w:pStyle w:val="FirstParagraph"/>
        <w:spacing w:after="120"/>
        <w:ind w:left="720" w:hanging="720"/>
        <w:jc w:val="left"/>
      </w:pPr>
      <w:r>
        <w:rPr>
          <w:b/>
          <w:bCs/>
        </w:rPr>
        <w:t xml:space="preserve">FORMULARIO DE CONSENTIMIENTO INFORMADO</w:t>
      </w:r>
    </w:p>
    <w:p>
      <w:pPr>
        <w:numPr>
          <w:ilvl w:val="0"/>
          <w:numId w:val="1037"/>
        </w:numPr>
        <w:spacing w:after="120"/>
        <w:ind w:left="720" w:hanging="720"/>
        <w:jc w:val="left"/>
      </w:pPr>
      <w:r>
        <w:rPr>
          <w:b/>
          <w:bCs/>
        </w:rPr>
        <w:t xml:space="preserve">Proyecto:</w:t>
      </w:r>
      <w:r>
        <w:t xml:space="preserve"> </w:t>
      </w:r>
      <w:r>
        <w:rPr>
          <w:i/>
          <w:iCs/>
        </w:rPr>
        <w:t xml:space="preserve">Evaluación del Desempeño Docente y Factibilidad de Implementación de un Modelo de Retroalimentación 360° en el Departamento de Administración Pública del CURZAS-UNCo (2027)</w:t>
      </w:r>
      <w:r>
        <w:t xml:space="preserve">.</w:t>
      </w:r>
    </w:p>
    <w:p>
      <w:pPr>
        <w:numPr>
          <w:ilvl w:val="0"/>
          <w:numId w:val="1037"/>
        </w:numPr>
        <w:spacing w:after="120"/>
        <w:ind w:left="720" w:hanging="720"/>
        <w:jc w:val="left"/>
      </w:pPr>
      <w:r>
        <w:rPr>
          <w:b/>
          <w:bCs/>
        </w:rPr>
        <w:t xml:space="preserve">Investigador:</w:t>
      </w:r>
      <w:r>
        <w:t xml:space="preserve"> </w:t>
      </w:r>
      <w:r>
        <w:t xml:space="preserve">Tec. Sup. Héctor Daniel Ayarachi Fuentes (CURZAS-UNCo).</w:t>
      </w:r>
    </w:p>
    <w:p>
      <w:pPr>
        <w:numPr>
          <w:ilvl w:val="0"/>
          <w:numId w:val="1037"/>
        </w:numPr>
        <w:spacing w:after="120"/>
        <w:ind w:left="720" w:hanging="720"/>
        <w:jc w:val="left"/>
      </w:pPr>
      <w:r>
        <w:rPr>
          <w:b/>
          <w:bCs/>
        </w:rPr>
        <w:t xml:space="preserve">Propósito:</w:t>
      </w:r>
      <w:r>
        <w:t xml:space="preserve"> </w:t>
      </w:r>
      <w:r>
        <w:t xml:space="preserve">Diagnosticar las condiciones de factibilidad para un circuito formativo de retroalimentación docente.</w:t>
      </w:r>
    </w:p>
    <w:p>
      <w:pPr>
        <w:numPr>
          <w:ilvl w:val="0"/>
          <w:numId w:val="1037"/>
        </w:numPr>
        <w:spacing w:after="120"/>
        <w:ind w:left="720" w:hanging="720"/>
        <w:jc w:val="left"/>
      </w:pPr>
      <w:r>
        <w:rPr>
          <w:b/>
          <w:bCs/>
        </w:rPr>
        <w:t xml:space="preserve">Constancia y Declaración del Participante:</w:t>
      </w:r>
    </w:p>
    <w:p>
      <w:pPr>
        <w:pStyle w:val="Compact"/>
        <w:numPr>
          <w:ilvl w:val="1"/>
          <w:numId w:val="1038"/>
        </w:numPr>
        <w:spacing w:after="120"/>
        <w:ind w:left="720" w:hanging="720"/>
        <w:jc w:val="left"/>
      </w:pPr>
      <w:r>
        <w:t xml:space="preserve">Declaro haber recibido información clara y suficiente sobre los objetivos de la investigación.</w:t>
      </w:r>
    </w:p>
    <w:p>
      <w:pPr>
        <w:pStyle w:val="Compact"/>
        <w:numPr>
          <w:ilvl w:val="1"/>
          <w:numId w:val="1038"/>
        </w:numPr>
        <w:spacing w:after="120"/>
        <w:ind w:left="720" w:hanging="720"/>
        <w:jc w:val="left"/>
      </w:pPr>
      <w:r>
        <w:t xml:space="preserve">Mi participación es libre, voluntaria y no remunerada, pudiendo retirarme en cualquier momento sin perjuicio alguno.</w:t>
      </w:r>
    </w:p>
    <w:p>
      <w:pPr>
        <w:pStyle w:val="Compact"/>
        <w:numPr>
          <w:ilvl w:val="1"/>
          <w:numId w:val="1038"/>
        </w:numPr>
        <w:spacing w:after="120"/>
        <w:ind w:left="720" w:hanging="720"/>
        <w:jc w:val="left"/>
      </w:pPr>
      <w:r>
        <w:t xml:space="preserve">Se me garantiza el anonimato estricto y la confidencialidad de mis respuestas (Ley N° 25.326 de Protección de los Datos Personales).</w:t>
      </w:r>
    </w:p>
    <w:p>
      <w:pPr>
        <w:pStyle w:val="Compact"/>
        <w:numPr>
          <w:ilvl w:val="1"/>
          <w:numId w:val="1038"/>
        </w:numPr>
        <w:spacing w:after="120"/>
        <w:ind w:left="720" w:hanging="720"/>
        <w:jc w:val="left"/>
      </w:pPr>
      <w:r>
        <w:t xml:space="preserve">Se me informa que los resultados no afectarán mi situación laboral estatutaria ni mi condición académica.</w:t>
      </w:r>
    </w:p>
    <w:p>
      <w:pPr>
        <w:pStyle w:val="FirstParagraph"/>
      </w:pPr>
      <w:r>
        <w:br/>
      </w:r>
    </w:p>
    <w:tbl>
      <w:tblPr>
        <w:tblStyle w:val="Table"/>
        <w:tblW w:type="pct" w:w="5000"/>
        <w:tblLayout w:type="fixed"/>
        <w:tblLook w:firstRow="1" w:lastRow="0" w:firstColumn="0" w:lastColumn="0" w:noHBand="0" w:noVBand="0" w:val="0020"/>
        <w:tblBorders>
          <w:top w:val="single" w:sz="8" w:space="0" w:color="000000"/>
          <w:left w:val="none"/>
          <w:bottom w:val="single" w:sz="8" w:space="0" w:color="000000"/>
          <w:right w:val="none"/>
          <w:insideH w:val="none"/>
          <w:insideV w:val="none"/>
        </w:tblBorders>
      </w:tblPr>
      <w:tblGrid>
        <w:gridCol w:w="3960"/>
        <w:gridCol w:w="3960"/>
      </w:tblGrid>
      <w:tr>
        <w:trPr>
          <w:tblHeader w:val="on"/>
        </w:trPr>
        <w:tc>
          <w:tcPr>
            <w:tcBorders>
              <w:bottom w:val="single" w:sz="6" w:space="0" w:color="000000"/>
            </w:tcBorders>
          </w:tcPr>
          <w:p>
            <w:pPr>
              <w:pStyle w:val="Compact"/>
              <w:jc w:val="left"/>
            </w:pPr>
            <w:r>
              <w:t xml:space="preserve">Campo</w:t>
            </w:r>
          </w:p>
        </w:tc>
        <w:tc>
          <w:tcPr>
            <w:tcBorders>
              <w:bottom w:val="single" w:sz="6" w:space="0" w:color="000000"/>
            </w:tcBorders>
          </w:tcPr>
          <w:p>
            <w:pPr>
              <w:pStyle w:val="Compact"/>
              <w:jc w:val="left"/>
            </w:pPr>
            <w:r>
              <w:t xml:space="preserve">Registro del Participante</w:t>
            </w:r>
          </w:p>
        </w:tc>
      </w:tr>
      <w:tr>
        <w:tc>
          <w:tcPr/>
          <w:p>
            <w:pPr>
              <w:pStyle w:val="Compact"/>
              <w:jc w:val="left"/>
            </w:pPr>
            <w:r>
              <w:rPr>
                <w:b/>
                <w:bCs/>
              </w:rPr>
              <w:t xml:space="preserve">Lugar y Fecha:</w:t>
            </w:r>
          </w:p>
        </w:tc>
        <w:tc>
          <w:tcPr/>
          <w:p>
            <w:pPr>
              <w:pStyle w:val="Compact"/>
              <w:jc w:val="left"/>
            </w:pPr>
            <w:r>
              <w:t xml:space="preserve">__________________________________________________</w:t>
            </w:r>
          </w:p>
        </w:tc>
      </w:tr>
      <w:tr>
        <w:tc>
          <w:tcPr/>
          <w:p>
            <w:pPr>
              <w:pStyle w:val="Compact"/>
              <w:jc w:val="left"/>
            </w:pPr>
            <w:r>
              <w:rPr>
                <w:b/>
                <w:bCs/>
              </w:rPr>
              <w:t xml:space="preserve">Firma (o validación digital):</w:t>
            </w:r>
          </w:p>
        </w:tc>
        <w:tc>
          <w:tcPr/>
          <w:p>
            <w:pPr>
              <w:pStyle w:val="Compact"/>
              <w:jc w:val="left"/>
            </w:pPr>
            <w:r>
              <w:t xml:space="preserve">__________________________________________________</w:t>
            </w:r>
          </w:p>
        </w:tc>
      </w:tr>
      <w:tr>
        <w:tc>
          <w:tcPr/>
          <w:p>
            <w:pPr>
              <w:pStyle w:val="Compact"/>
              <w:jc w:val="left"/>
            </w:pPr>
            <w:r>
              <w:rPr>
                <w:b/>
                <w:bCs/>
              </w:rPr>
              <w:t xml:space="preserve">Aclaración de Firma:</w:t>
            </w:r>
          </w:p>
        </w:tc>
        <w:tc>
          <w:tcPr/>
          <w:p>
            <w:pPr>
              <w:pStyle w:val="Compact"/>
              <w:jc w:val="left"/>
            </w:pPr>
            <w:r>
              <w:t xml:space="preserve">__________________________________________________</w:t>
            </w:r>
          </w:p>
        </w:tc>
      </w:tr>
      <w:tr>
        <w:tc>
          <w:tcPr/>
          <w:p>
            <w:pPr>
              <w:pStyle w:val="Compact"/>
              <w:jc w:val="left"/>
            </w:pPr>
            <w:r>
              <w:rPr>
                <w:b/>
                <w:bCs/>
              </w:rPr>
              <w:t xml:space="preserve">Estamento / Rol:</w:t>
            </w:r>
          </w:p>
        </w:tc>
        <w:tc>
          <w:tcPr/>
          <w:p>
            <w:pPr>
              <w:pStyle w:val="Compact"/>
              <w:jc w:val="left"/>
            </w:pPr>
            <w:r>
              <w:t xml:space="preserve">[ ] Docente      [ ] Estudiante      [ ] Autoridad      [ ] Representante Gremial</w:t>
            </w:r>
          </w:p>
        </w:tc>
      </w:tr>
    </w:tbl>
    <w:bookmarkEnd w:id="119"/>
    <w:bookmarkEnd w:id="120"/>
    <w:sectPr>
      <w:footerReference w:type="default" r:id="rId11"/>
      <w:footnotePr>
        <w:numRestart w:val="eachSect"/>
      </w:footnotePr>
      <w:pgMar w:top="1440" w:bottom="1440" w:left="1440" w:right="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line="360" w:lineRule="auto"/>
    </w:pPr>
    <w:rPr>
      <w:rFonts w:ascii="Arial" w:hAnsi="Arial"/>
      <w:sz w:val="24"/>
    </w:rPr>
  </w:style>
  <w:style w:customStyle="1" w:styleId="FirstParagraph" w:type="paragraph">
    <w:name w:val="First Paragraph"/>
    <w:basedOn w:val="BodyText"/>
    <w:next w:val="BodyText"/>
    <w:qFormat/>
    <w:pPr>
      <w:spacing w:line="360" w:lineRule="auto"/>
    </w:pPr>
    <w:rPr>
      <w:rFonts w:ascii="Arial" w:hAnsi="Arial"/>
      <w:sz w:val="24"/>
    </w:rPr>
  </w:style>
  <w:style w:customStyle="1" w:styleId="Compact" w:type="paragraph">
    <w:name w:val="Compact"/>
    <w:basedOn w:val="BodyText"/>
    <w:qFormat/>
    <w:pPr>
      <w:spacing w:after="36" w:before="36" w:line="360" w:lineRule="auto"/>
    </w:pPr>
    <w:rPr>
      <w:rFonts w:ascii="Arial" w:hAnsi="Arial"/>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line="288" w:lineRule="auto"/>
      <w:outlineLvl w:val="0"/>
    </w:pPr>
    <w:rPr>
      <w:rFonts w:asciiTheme="majorHAnsi" w:cstheme="majorBidi" w:eastAsiaTheme="majorEastAsia" w:hAnsiTheme="majorHAnsi" w:ascii="Arial" w:hAnsi="Arial"/>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88" w:lineRule="auto"/>
      <w:outlineLvl w:val="1"/>
    </w:pPr>
    <w:rPr>
      <w:rFonts w:asciiTheme="majorHAnsi" w:cstheme="majorBidi" w:eastAsiaTheme="majorEastAsia" w:hAnsiTheme="majorHAnsi" w:ascii="Arial" w:hAnsi="Arial"/>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88" w:lineRule="auto"/>
      <w:outlineLvl w:val="2"/>
    </w:pPr>
    <w:rPr>
      <w:rFonts w:cstheme="majorBidi" w:eastAsiaTheme="majorEastAsia" w:ascii="Arial" w:hAnsi="Arial"/>
      <w:b/>
      <w:i/>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svg"/><Relationship Id="rId9" Type="http://schemas.openxmlformats.org/officeDocument/2006/relationships/image" Target="media/rId9.png"/><Relationship Id="rId17" Type="http://schemas.openxmlformats.org/officeDocument/2006/relationships/image" Target="media/rId17.svg"/><Relationship Id="rId108" Type="http://schemas.openxmlformats.org/officeDocument/2006/relationships/hyperlink" Target="https://academica.uncoma.edu.ar/wp-content/uploads/2025/08/ord_988_2025_55.pdf" TargetMode="External"/><Relationship Id="rId102" Type="http://schemas.openxmlformats.org/officeDocument/2006/relationships/hyperlink" Target="https://dialnet.unirioja.es/servlet/articulo?codigo=7242790" TargetMode="External"/><Relationship Id="rId104" Type="http://schemas.openxmlformats.org/officeDocument/2006/relationships/hyperlink" Target="https://doi.org/10.1177/1534484316671606" TargetMode="External"/><Relationship Id="rId99" Type="http://schemas.openxmlformats.org/officeDocument/2006/relationships/hyperlink" Target="https://doi.org/10.14507/epaa.28.5142" TargetMode="External"/><Relationship Id="rId79" Type="http://schemas.openxmlformats.org/officeDocument/2006/relationships/hyperlink" Target="https://doi.org/10.2307/3541464" TargetMode="External"/><Relationship Id="rId83" Type="http://schemas.openxmlformats.org/officeDocument/2006/relationships/hyperlink" Target="https://doi.org/10.2307/40184584" TargetMode="External"/><Relationship Id="rId73" Type="http://schemas.openxmlformats.org/officeDocument/2006/relationships/hyperlink" Target="https://doi.org/10.46553/colec.34.2023.p143-176" TargetMode="External"/><Relationship Id="rId106" Type="http://schemas.openxmlformats.org/officeDocument/2006/relationships/hyperlink" Target="https://fatu-uncoma.com.ar/fatu/wp-content/uploads/2024/03/0910-1997-Reglamento-de-carrera-docente.pdf" TargetMode="External"/><Relationship Id="rId95" Type="http://schemas.openxmlformats.org/officeDocument/2006/relationships/hyperlink" Target="https://medisur.sld.cu/index.php/medisur/article/view/2749" TargetMode="External"/><Relationship Id="rId69" Type="http://schemas.openxmlformats.org/officeDocument/2006/relationships/hyperlink" Target="https://ru.dgb.unam.mx/handle/123456789/4144" TargetMode="External"/><Relationship Id="rId76" Type="http://schemas.openxmlformats.org/officeDocument/2006/relationships/hyperlink" Target="https://web.curza.uncoma.edu.ar/educacion-distancia/nodos-curza-unco-region-sur" TargetMode="External"/><Relationship Id="rId10" Type="http://schemas.openxmlformats.org/officeDocument/2006/relationships/footer" Target="footer1.xml"/><Relationship Id="rId11" Type="http://schemas.openxmlformats.org/officeDocument/2006/relationships/footer" Target="footer2.xml"/></Relationships>
</file>

<file path=word/_rels/footnotes.xml.rels><?xml version='1.0' encoding='UTF-8' standalone='yes'?>
<Relationships xmlns="http://schemas.openxmlformats.org/package/2006/relationships"><Relationship Id="rId108" Type="http://schemas.openxmlformats.org/officeDocument/2006/relationships/hyperlink" Target="https://academica.uncoma.edu.ar/wp-content/uploads/2025/08/ord_988_2025_55.pdf" TargetMode="External"/><Relationship Id="rId102" Type="http://schemas.openxmlformats.org/officeDocument/2006/relationships/hyperlink" Target="https://dialnet.unirioja.es/servlet/articulo?codigo=7242790" TargetMode="External"/><Relationship Id="rId104" Type="http://schemas.openxmlformats.org/officeDocument/2006/relationships/hyperlink" Target="https://doi.org/10.1177/1534484316671606" TargetMode="External"/><Relationship Id="rId99" Type="http://schemas.openxmlformats.org/officeDocument/2006/relationships/hyperlink" Target="https://doi.org/10.14507/epaa.28.5142" TargetMode="External"/><Relationship Id="rId79" Type="http://schemas.openxmlformats.org/officeDocument/2006/relationships/hyperlink" Target="https://doi.org/10.2307/3541464" TargetMode="External"/><Relationship Id="rId83" Type="http://schemas.openxmlformats.org/officeDocument/2006/relationships/hyperlink" Target="https://doi.org/10.2307/40184584" TargetMode="External"/><Relationship Id="rId73" Type="http://schemas.openxmlformats.org/officeDocument/2006/relationships/hyperlink" Target="https://doi.org/10.46553/colec.34.2023.p143-176" TargetMode="External"/><Relationship Id="rId106" Type="http://schemas.openxmlformats.org/officeDocument/2006/relationships/hyperlink" Target="https://fatu-uncoma.com.ar/fatu/wp-content/uploads/2024/03/0910-1997-Reglamento-de-carrera-docente.pdf" TargetMode="External"/><Relationship Id="rId95" Type="http://schemas.openxmlformats.org/officeDocument/2006/relationships/hyperlink" Target="https://medisur.sld.cu/index.php/medisur/article/view/2749" TargetMode="External"/><Relationship Id="rId69" Type="http://schemas.openxmlformats.org/officeDocument/2006/relationships/hyperlink" Target="https://ru.dgb.unam.mx/handle/123456789/4144" TargetMode="External"/><Relationship Id="rId76" Type="http://schemas.openxmlformats.org/officeDocument/2006/relationships/hyperlink" Target="https://web.curza.uncoma.edu.ar/educacion-distancia/nodos-curza-unco-region-s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2026-10-28T23:13:33Z</dcterms:created>
  <dcterms:modified xsi:type="dcterms:W3CDTF">2026-10-28T23:13:33Z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referencias.bib</vt:lpwstr>
  </property>
  <property fmtid="{D5CDD505-2E9C-101B-9397-08002B2CF9AE}" pid="4" name="csl">
    <vt:lpwstr>apa.csl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Tabla de contenidos</vt:lpwstr>
  </property>
</Properties>
</file>