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media/rId1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center"/>
      </w:pPr>
      <w:r>
        <w:drawing>
          <wp:inline>
            <wp:extent cx="1095375" cy="11172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../assets/img/CURZA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111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Universidad Nacional del Comahue</w:t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Complejo Universitario Regional Zona Atlántica y Sur</w:t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Departamento de Administración Pública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240" w:lineRule="auto" w:before="0" w:after="0"/>
        <w:jc w:val="center"/>
      </w:pPr>
      <w:r>
        <w:rPr>
          <w:rFonts w:ascii="Arial" w:hAnsi="Arial"/>
          <w:b/>
          <w:sz w:val="24"/>
        </w:rPr>
        <w:t>Licenciatura en Gestión de Recursos Humanos</w:t>
      </w:r>
    </w:p>
    <w:p>
      <w:pPr>
        <w:spacing w:line="240" w:lineRule="auto" w:before="0" w:after="0"/>
        <w:jc w:val="center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Materia: Seminario de Integración y Aplicación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Profesores: Dra. Deborah Noguera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 xml:space="preserve">                   Esp. Federico Abeiro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 xml:space="preserve">                   Esp. María Cecilia Aguirre</w:t>
      </w: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Estudiante: Tec. Sup. en RRHH Héctor Daniel Ayarachi Fuentes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DNI y LEGAJO: DNI N° 35.492.138 — Legajo N° 8252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Email: hectordanielayarachifuentes@gmail.com</w:t>
      </w: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Director/a: (A designar antes de finalizar el cursado del SIA)</w:t>
      </w: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Codirector/a: (A designar antes de finalizar el cursado del SIA)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jc w:val="center"/>
      </w:pPr>
      <w:r>
        <w:rPr>
          <w:rFonts w:ascii="Arial" w:hAnsi="Arial"/>
          <w:b w:val="0"/>
          <w:sz w:val="24"/>
        </w:rPr>
        <w:t>Viedma, Río Negro — Año 2026</w:t>
      </w:r>
    </w:p>
    <w:p>
      <w:r>
        <w:br w:type="page"/>
      </w:r>
    </w:p>
    <w:bookmarkStart w:id="12" w:name="índice-de-contenidos"/>
    <w:p>
      <w:pPr>
        <w:pStyle w:val="Heading1"/>
        <w:keepNext/>
        <w:spacing w:before="240" w:after="120" w:line="300" w:lineRule="auto"/>
      </w:pPr>
      <w:r>
        <w:rPr>
          <w:rFonts w:ascii="Arial" w:hAnsi="Arial"/>
          <w:b/>
          <w:sz w:val="28"/>
        </w:rPr>
        <w:t xml:space="preserve">Índice de Contenidos</w:t>
      </w:r>
    </w:p>
    <w:p>
      <w:pPr>
        <w:spacing w:after="120"/>
      </w:pPr>
      <w:r>
        <w:fldChar w:fldCharType="begin"/>
        <w:instrText xml:space="preserve"> TOC \o "1-3" \h \z \u </w:instrText>
        <w:fldChar w:fldCharType="separate"/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 Tema de Investigación</w:t>
      </w:r>
      <w:r>
        <w:tab/>
      </w:r>
      <w:r>
        <w:rPr>
          <w:rFonts w:ascii="Arial" w:hAnsi="Arial"/>
          <w:sz w:val="22"/>
        </w:rPr>
        <w:t>1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1.1 Identificación del Tema y Encuadre en el Modelo de Francisco Longo</w:t>
      </w:r>
      <w:r>
        <w:tab/>
      </w:r>
      <w:r>
        <w:rPr>
          <w:rFonts w:ascii="Arial" w:hAnsi="Arial"/>
          <w:sz w:val="22"/>
        </w:rPr>
        <w:t>1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1.2 Descripción Contextual Socioeconómica, Histórica e Institucional</w:t>
      </w:r>
      <w:r>
        <w:tab/>
      </w:r>
      <w:r>
        <w:rPr>
          <w:rFonts w:ascii="Arial" w:hAnsi="Arial"/>
          <w:sz w:val="22"/>
        </w:rPr>
        <w:t>2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 Delimitación del Objeto Problema</w:t>
      </w:r>
      <w:r>
        <w:tab/>
      </w:r>
      <w:r>
        <w:rPr>
          <w:rFonts w:ascii="Arial" w:hAnsi="Arial"/>
          <w:sz w:val="22"/>
        </w:rPr>
        <w:t>3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2.1 Problematización y Construcción del Objeto de Estudio</w:t>
      </w:r>
      <w:r>
        <w:tab/>
      </w:r>
      <w:r>
        <w:rPr>
          <w:rFonts w:ascii="Arial" w:hAnsi="Arial"/>
          <w:sz w:val="22"/>
        </w:rPr>
        <w:t>3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2.2 Desglose de las Cuatro (4) Delimitaciones Metodológicas</w:t>
      </w:r>
      <w:r>
        <w:tab/>
      </w:r>
      <w:r>
        <w:rPr>
          <w:rFonts w:ascii="Arial" w:hAnsi="Arial"/>
          <w:sz w:val="22"/>
        </w:rPr>
        <w:t>4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 Operacionalización de las Dimensiones de Factibilidad</w:t>
      </w:r>
      <w:r>
        <w:tab/>
      </w:r>
      <w:r>
        <w:rPr>
          <w:rFonts w:ascii="Arial" w:hAnsi="Arial"/>
          <w:sz w:val="22"/>
        </w:rPr>
        <w:t>5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2.3.1 Definición Conceptual y Operativa de Factibilidad</w:t>
      </w:r>
      <w:r>
        <w:tab/>
      </w:r>
      <w:r>
        <w:rPr>
          <w:rFonts w:ascii="Arial" w:hAnsi="Arial"/>
          <w:sz w:val="22"/>
        </w:rPr>
        <w:t>5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2.3.2 Dimensiones de Observación y Fuentes Empíricas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2.3.3 Criterios Cualitativos para la Interpretación de Resultados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2.4 Pregunta General de Investigación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 Justificación y Relevancia de la Investigación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3.1 Plano Cognitivo y Disciplinar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3.2 Plano Social e Institucional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3.3 Plano Personal y Profesional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 Definición de Objetivos del TFG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4.1 Objetivo General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4.2 Objetivos Específicos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4.3 Matriz de Consistencia Metodológica y Articulación con Longo (2006)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Referencias</w:t>
      </w:r>
      <w:r>
        <w:tab/>
      </w:r>
      <w:r>
        <w:rPr>
          <w:rFonts w:ascii="Arial" w:hAnsi="Arial"/>
          <w:sz w:val="22"/>
        </w:rPr>
        <w:t>11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Bibliografía</w:t>
      </w:r>
      <w:r>
        <w:tab/>
      </w:r>
      <w:r>
        <w:rPr>
          <w:rFonts w:ascii="Arial" w:hAnsi="Arial"/>
          <w:sz w:val="22"/>
        </w:rPr>
        <w:t>11</w:t>
      </w:r>
    </w:p>
    <w:p>
      <w:r>
        <w:fldChar w:fldCharType="end"/>
      </w:r>
    </w:p>
    <w:p>
      <w:pPr>
        <w:sectPr>
          <w:footerReference w:type="default" r:id="rId10"/>
          <w:type w:val="nextPage"/>
        </w:sectPr>
      </w:pPr>
      <w:r>
        <w:br w:type="page"/>
      </w:r>
    </w:p>
    <w:p>
      <w:pPr>
        <w:pStyle w:val="FirstParagraph"/>
        <w:spacing w:before="0" w:after="40" w:line="276" w:lineRule="auto"/>
        <w:jc w:val="center"/>
      </w:pPr>
      <w:r/>
      <w:r>
        <w:rPr>
          <w:rFonts w:ascii="Arial" w:hAnsi="Arial"/>
          <w:b/>
          <w:sz w:val="26"/>
        </w:rPr>
        <w:t>Evaluación del Desempeño Docente y Factibilidad de Implementación de un Modelo de Retroalimentación 360° en el Departamento de Administración Pública del CURZAS-UNCo (2025–2026)</w:t>
      </w:r>
    </w:p>
    <w:p>
      <w:pPr>
        <w:spacing w:before="0" w:after="120" w:line="276" w:lineRule="auto"/>
        <w:jc w:val="center"/>
      </w:pPr>
      <w:r>
        <w:rPr>
          <w:rFonts w:ascii="Arial" w:hAnsi="Arial"/>
          <w:i/>
          <w:sz w:val="22"/>
        </w:rPr>
        <w:t>(Trabajo Práctico N° 2: Primera Parte de la Estructura del Proyecto de Investigación de TFG)</w:t>
      </w:r>
    </w:p>
    <w:p>
      <w:pPr>
        <w:pStyle w:val="Heading1"/>
        <w:keepNext/>
        <w:spacing w:before="240" w:after="120" w:line="300" w:lineRule="auto"/>
      </w:pPr>
      <w:r>
        <w:rPr>
          <w:rFonts w:ascii="Arial" w:hAnsi="Arial"/>
          <w:b/>
          <w:sz w:val="28"/>
        </w:rPr>
        <w:t xml:space="preserve">1. Tema de Investigación</w:t>
      </w:r>
    </w:p>
    <w:p>
      <w:pPr>
        <w:pStyle w:val="FirstParagraph"/>
      </w:pPr>
      <w:r>
        <w:t xml:space="preserve">En esta primera sección del Proyecto de TFG se presenta la delimitación del tema de estudio, articulando la gestión pública universitaria con los modelos teóricos de gestión del empleo y recursos humanos en el sector público.</w:t>
      </w:r>
    </w:p>
    <w:bookmarkStart w:id="16" w:name="X3b7543707cc40a247a490b86cb2ce8465d5a046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1.1 Identificación del Tema y Encuadre en el Modelo de Francisco Longo</w:t>
      </w:r>
    </w:p>
    <w:p>
      <w:pPr>
        <w:pStyle w:val="FirstParagraph"/>
      </w:pPr>
      <w:r>
        <w:t xml:space="preserve">Este proyecto de investigación se ubica en el cruce disciplinar entre la</w:t>
      </w:r>
      <w:r>
        <w:t xml:space="preserve"> </w:t>
      </w:r>
      <w:r>
        <w:rPr>
          <w:b/>
          <w:bCs/>
        </w:rPr>
        <w:t xml:space="preserve">Administración Pública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Gestión de Recursos Humanos</w:t>
      </w:r>
      <w:r>
        <w:t xml:space="preserve">. Su abordaje responde a los desafíos actuales de modernización institucional y desarrollo de capacidades estatales en el sector público</w:t>
      </w:r>
      <w:r>
        <w:t xml:space="preserve"> </w:t>
      </w:r>
      <w:r>
        <w:t xml:space="preserve">(Oszlak, 2020)</w:t>
      </w:r>
      <w:r>
        <w:t xml:space="preserve">. Conforme a las pautas del Seminario de Integración y Aplicación (SIA) y a los criterios del Reglamento de Trabajo Final de Graduación</w:t>
      </w:r>
      <w:r>
        <w:t xml:space="preserve"> </w:t>
      </w:r>
      <w:r>
        <w:t xml:space="preserve">(Universidad Nacional del Comahue - CURZAS, 2023)</w:t>
      </w:r>
      <w:r>
        <w:t xml:space="preserve">, el tema se delimita mediante el criterio de</w:t>
      </w:r>
      <w:r>
        <w:t xml:space="preserve"> </w:t>
      </w:r>
      <w:r>
        <w:t xml:space="preserve">“pirámide invertida”</w:t>
      </w:r>
      <w:r>
        <w:t xml:space="preserve"> </w:t>
      </w:r>
      <w:r>
        <w:t xml:space="preserve">(Sautu, 2005)</w:t>
      </w:r>
      <w:r>
        <w:t xml:space="preserve">, transitando desde el macrosistema de gestión pública hasta el análisis empírico de un problema situado en el ámbito universitario regional.</w:t>
      </w:r>
    </w:p>
    <w:p>
      <w:pPr>
        <w:pStyle w:val="BodyText"/>
      </w:pPr>
      <w:r>
        <w:t xml:space="preserve">A nivel teórico, la investigación adopta como marco analítico el</w:t>
      </w:r>
      <w:r>
        <w:t xml:space="preserve"> </w:t>
      </w:r>
      <w:r>
        <w:rPr>
          <w:b/>
          <w:bCs/>
        </w:rPr>
        <w:t xml:space="preserve">Modelo de Gestión del Empleo Público y Recursos Humanos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Francisco</w:t>
      </w:r>
      <w:r>
        <w:rPr>
          <w:b/>
          <w:bCs/>
        </w:rPr>
        <w:t xml:space="preserve"> </w:t>
      </w:r>
      <w:r>
        <w:rPr>
          <w:b/>
          <w:bCs/>
        </w:rPr>
        <w:t xml:space="preserve">Longo (2006)</w:t>
      </w:r>
      <w:r>
        <w:t xml:space="preserve">. Este modelo concibe la administración de personas como un sistema articulado con la estrategia institucional y compuesto por subsistemas interdependientes:</w:t>
      </w:r>
    </w:p>
    <w:p>
      <w:pPr>
        <w:pStyle w:val="CaptionedFigure"/>
      </w:pPr>
      <w:r>
        <w:drawing>
          <wp:inline>
            <wp:extent cx="3733800" cy="2893695"/>
            <wp:effectExtent b="0" l="0" r="0" t="0"/>
            <wp:docPr descr="Subsistemas de la Gestión de Recursos Humanos en el Sector Público (Longo, 2006)." title="" id="14" name="Picture"/>
            <a:graphic>
              <a:graphicData uri="http://schemas.openxmlformats.org/drawingml/2006/picture">
                <pic:pic>
                  <pic:nvPicPr>
                    <pic:cNvPr descr="assets/Sistemas-longo.svg" id="1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93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i/>
          <w:iCs/>
        </w:rPr>
        <w:t xml:space="preserve">Subsistemas de la Gestión de Recursos Humanos en el Sector Público</w:t>
      </w:r>
      <w:r>
        <w:rPr>
          <w:i/>
          <w:iCs/>
        </w:rPr>
        <w:t xml:space="preserve"> </w:t>
      </w:r>
      <w:r>
        <w:rPr>
          <w:i/>
          <w:iCs/>
        </w:rPr>
        <w:t xml:space="preserve">(Longo, 2006)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Dentro de este esquema, el trabajo hace foco en el</w:t>
      </w:r>
      <w:r>
        <w:t xml:space="preserve"> </w:t>
      </w:r>
      <w:r>
        <w:rPr>
          <w:b/>
          <w:bCs/>
        </w:rPr>
        <w:t xml:space="preserve">Subsistema de Gestión del Rendimiento (Evaluación del Desempeño)</w:t>
      </w:r>
      <w:r>
        <w:t xml:space="preserve">, articulado con tres subsistemas clave:</w:t>
      </w:r>
      <w:r>
        <w:t xml:space="preserve"> </w:t>
      </w:r>
      <w:r>
        <w:rPr>
          <w:b/>
          <w:bCs/>
        </w:rPr>
        <w:t xml:space="preserve">Gestión del Desarrollo</w:t>
      </w:r>
      <w:r>
        <w:t xml:space="preserve"> </w:t>
      </w:r>
      <w:r>
        <w:t xml:space="preserve">(capacitación y carrera docente),</w:t>
      </w:r>
      <w:r>
        <w:t xml:space="preserve"> </w:t>
      </w:r>
      <w:r>
        <w:rPr>
          <w:b/>
          <w:bCs/>
        </w:rPr>
        <w:t xml:space="preserve">Organización del Trabajo</w:t>
      </w:r>
      <w:r>
        <w:t xml:space="preserve"> </w:t>
      </w:r>
      <w:r>
        <w:t xml:space="preserve">(perfiles y funciones académicas) y</w:t>
      </w:r>
      <w:r>
        <w:t xml:space="preserve"> </w:t>
      </w:r>
      <w:r>
        <w:rPr>
          <w:b/>
          <w:bCs/>
        </w:rPr>
        <w:t xml:space="preserve">Gestión de las Relaciones Humanas</w:t>
      </w:r>
      <w:r>
        <w:t xml:space="preserve"> </w:t>
      </w:r>
      <w:r>
        <w:t xml:space="preserve">(clima laboral y cultura participativa).</w:t>
      </w:r>
    </w:p>
    <w:p>
      <w:pPr>
        <w:pStyle w:val="BodyText"/>
      </w:pPr>
      <w:r>
        <w:t xml:space="preserve">El propósito central es indagar si la evaluación docente puede superar la lógica tradicional de control formal o punitivo</w:t>
      </w:r>
      <w:r>
        <w:t xml:space="preserve"> </w:t>
      </w:r>
      <w:r>
        <w:t xml:space="preserve">(Chiavenato, 2020)</w:t>
      </w:r>
      <w:r>
        <w:t xml:space="preserve"> </w:t>
      </w:r>
      <w:r>
        <w:t xml:space="preserve">para orientarse hacia un enfoque formativo de aprendizaje continuo. Para ello, se analiza la factibilidad de un modelo de</w:t>
      </w:r>
      <w:r>
        <w:t xml:space="preserve"> </w:t>
      </w:r>
      <w:r>
        <w:rPr>
          <w:b/>
          <w:bCs/>
        </w:rPr>
        <w:t xml:space="preserve">retroalimentación 360 grados</w:t>
      </w:r>
      <w:r>
        <w:t xml:space="preserve">, que articula diversas miradas sobre la labor docente: autoevaluación, valoración de pares disciplinares, apreciación de los estudiantes y seguimiento de directores departamentales</w:t>
      </w:r>
      <w:r>
        <w:t xml:space="preserve"> </w:t>
      </w:r>
      <w:r>
        <w:t xml:space="preserve">(Dalmau et al., 2017; Lepsinger &amp; Lucia, 2009)</w:t>
      </w:r>
      <w:r>
        <w:t xml:space="preserve">.</w:t>
      </w:r>
    </w:p>
    <w:bookmarkEnd w:id="16"/>
    <w:bookmarkStart w:id="17" w:name="Xbbec583eb196cb9ac3faf82921907416d115537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1.2 Descripción Contextual Socioeconómica, Histórica e Institucional</w:t>
      </w:r>
    </w:p>
    <w:p>
      <w:pPr>
        <w:pStyle w:val="FirstParagraph"/>
      </w:pPr>
      <w:r>
        <w:t xml:space="preserve">El estudio se sitúa en el</w:t>
      </w:r>
      <w:r>
        <w:t xml:space="preserve"> </w:t>
      </w:r>
      <w:r>
        <w:rPr>
          <w:b/>
          <w:bCs/>
        </w:rPr>
        <w:t xml:space="preserve">Complejo Universitario Regional Zona Atlántica y Sur (CURZAS)</w:t>
      </w:r>
      <w:r>
        <w:t xml:space="preserve">, unidad académica descentralizada de la</w:t>
      </w:r>
      <w:r>
        <w:t xml:space="preserve"> </w:t>
      </w:r>
      <w:r>
        <w:rPr>
          <w:b/>
          <w:bCs/>
        </w:rPr>
        <w:t xml:space="preserve">Universidad Nacional del Comahue (UNCo)</w:t>
      </w:r>
      <w:r>
        <w:t xml:space="preserve"> </w:t>
      </w:r>
      <w:r>
        <w:t xml:space="preserve">en la ciudad de Viedma, capital de Río Negro. A nivel histórico y regulatorio, la Ley N° 24.521 de Educación Superior</w:t>
      </w:r>
      <w:r>
        <w:t xml:space="preserve"> </w:t>
      </w:r>
      <w:r>
        <w:t xml:space="preserve">(Ley N° 24.521 de Educación Superior, 1995)</w:t>
      </w:r>
      <w:r>
        <w:t xml:space="preserve"> </w:t>
      </w:r>
      <w:r>
        <w:t xml:space="preserve">fijó el mandato de que las universidades nacionales incorporen mecanismos periódicos de autoevaluación y aseguramiento de la calidad en sus tareas de docencia, investigación y extensión.</w:t>
      </w:r>
    </w:p>
    <w:p>
      <w:pPr>
        <w:pStyle w:val="BodyText"/>
      </w:pPr>
      <w:r>
        <w:t xml:space="preserve">En este marco, el</w:t>
      </w:r>
      <w:r>
        <w:t xml:space="preserve"> </w:t>
      </w:r>
      <w:r>
        <w:rPr>
          <w:b/>
          <w:bCs/>
        </w:rPr>
        <w:t xml:space="preserve">Departamento de Administración Pública</w:t>
      </w:r>
      <w:r>
        <w:t xml:space="preserve"> </w:t>
      </w:r>
      <w:r>
        <w:t xml:space="preserve">cumple una función estratégica en el desarrollo comarcal y provincial. Tiene a su cargo las carreras de Licenciatura en Administración Pública, Licenciatura en Gestión de Recursos Humanos y ciclos de complementación curricular para agentes públicos. Su comunidad estudiantil está conformada tanto por jóvenes de la comarca Viedma-Carmen de Patagones como por trabajadores insertos en organismos públicos de diversa índole.</w:t>
      </w:r>
    </w:p>
    <w:p>
      <w:pPr>
        <w:pStyle w:val="BodyText"/>
      </w:pPr>
      <w:r>
        <w:t xml:space="preserve">A esta realidad se suma la consolidación de la</w:t>
      </w:r>
      <w:r>
        <w:t xml:space="preserve"> </w:t>
      </w:r>
      <w:r>
        <w:rPr>
          <w:b/>
          <w:bCs/>
        </w:rPr>
        <w:t xml:space="preserve">Red de Nodos Universitarios</w:t>
      </w:r>
      <w:r>
        <w:t xml:space="preserve"> </w:t>
      </w:r>
      <w:r>
        <w:t xml:space="preserve">en localidades de la Línea Sur y la Costa Atlántica rionegrina (tales como Sierra Grande, Valcheta, Los Menucos y Ramos Mexía, entre otras localidades). Esta expansión territorial impone modalidades pedagógicas híbridas que combinan entornos virtuales y encuentros presenciales, lo que demanda de los equipos docentes competencias específicas de tutoría y acompañamiento digital.</w:t>
      </w:r>
    </w:p>
    <w:p>
      <w:pPr>
        <w:pStyle w:val="BodyText"/>
      </w:pPr>
      <w:r>
        <w:t xml:space="preserve">En el plano normativo, la actividad docente en el CURZAS se encuentra reglada por el Estatuto de la UNCo</w:t>
      </w:r>
      <w:r>
        <w:t xml:space="preserve"> </w:t>
      </w:r>
      <w:r>
        <w:t xml:space="preserve">(Ordenanza N° 470/2009 y sus modificatorias, Universidad Nacional del Comahue, 2009)</w:t>
      </w:r>
      <w:r>
        <w:t xml:space="preserve">, el Reglamento de Carrera Docente</w:t>
      </w:r>
      <w:r>
        <w:t xml:space="preserve"> </w:t>
      </w:r>
      <w:r>
        <w:t xml:space="preserve">(Ordenanza N° 0920/2019 y sus normas complementarias, Universidad Nacional del Comahue, 2019)</w:t>
      </w:r>
      <w:r>
        <w:t xml:space="preserve"> </w:t>
      </w:r>
      <w:r>
        <w:t xml:space="preserve">y el Convenio Colectivo de Trabajo Docente homologado por Decreto N° 1246/2015</w:t>
      </w:r>
      <w:r>
        <w:t xml:space="preserve"> </w:t>
      </w:r>
      <w:r>
        <w:t xml:space="preserve">(Decreto N° 1246/2015. Convenio Colectivo de Trabajo para los Docentes de las Instituciones Universitarias Nacionales, 2015)</w:t>
      </w:r>
      <w:r>
        <w:t xml:space="preserve">. Estos instrumentos fijan mecanismos periódicos de evaluación con fines de permanencia y promoción, que incluyen informes de labor académica, dictámenes de pares y encuestas estudiantiles de fin de cuatrimestre.</w:t>
      </w:r>
    </w:p>
    <w:p>
      <w:pPr>
        <w:pStyle w:val="BodyText"/>
      </w:pPr>
      <w:r>
        <w:t xml:space="preserve">A partir de este marco, el proyecto plantea como</w:t>
      </w:r>
      <w:r>
        <w:t xml:space="preserve"> </w:t>
      </w:r>
      <w:r>
        <w:rPr>
          <w:b/>
          <w:bCs/>
        </w:rPr>
        <w:t xml:space="preserve">supuesto de partida e hipótesis exploratoria</w:t>
      </w:r>
      <w:r>
        <w:t xml:space="preserve"> </w:t>
      </w:r>
      <w:r>
        <w:t xml:space="preserve">que, en la dinámica cotidiana, dichos dispositivos podrían estar funcionando prioritariamente con un sentido administrativo y sumativo, enfocado en el cumplimiento reglamentario. No obstante, lejos de asumir una conclusión anticipada,</w:t>
      </w:r>
      <w:r>
        <w:t xml:space="preserve"> </w:t>
      </w:r>
      <w:r>
        <w:rPr>
          <w:b/>
          <w:bCs/>
        </w:rPr>
        <w:t xml:space="preserve">será necesario indagar empíricamente si</w:t>
      </w:r>
      <w:r>
        <w:t xml:space="preserve"> </w:t>
      </w:r>
      <w:r>
        <w:t xml:space="preserve">estas herramientas operan de manera aislada o si generan instancias efectivas de retroalimentación pedagógica. Examinar si los resultados evaluativos se vinculan efectivamente con planes de capacitación y mejora docente constituye el objetivo central del relevamiento de campo para el período</w:t>
      </w:r>
      <w:r>
        <w:t xml:space="preserve"> </w:t>
      </w:r>
      <w:r>
        <w:rPr>
          <w:b/>
          <w:bCs/>
        </w:rPr>
        <w:t xml:space="preserve">2025–2026</w:t>
      </w:r>
      <w:r>
        <w:t xml:space="preserve">.</w:t>
      </w:r>
    </w:p>
    <w:bookmarkEnd w:id="17"/>
    <w:bookmarkEnd w:id="18"/>
    <w:bookmarkStart w:id="26" w:name="delimitación-del-objeto-problema"/>
    <w:p>
      <w:pPr>
        <w:pStyle w:val="Heading1"/>
        <w:keepNext/>
        <w:spacing w:before="240" w:after="120" w:line="300" w:lineRule="auto"/>
      </w:pPr>
      <w:r>
        <w:rPr>
          <w:rFonts w:ascii="Arial" w:hAnsi="Arial"/>
          <w:b/>
          <w:sz w:val="28"/>
        </w:rPr>
        <w:t xml:space="preserve">2. Delimitación del Objeto Problema</w:t>
      </w:r>
    </w:p>
    <w:p>
      <w:pPr>
        <w:pStyle w:val="FirstParagraph"/>
      </w:pPr>
      <w:r>
        <w:t xml:space="preserve">En este apartado se problematiza la evaluación del desempeño docente a partir de la tensión entre el control estatutario y el desarrollo formativo, precisando las delimitaciones metodológicas y las dimensiones de factibilidad.</w:t>
      </w:r>
    </w:p>
    <w:bookmarkStart w:id="19" w:name="X9314e5ae1895006622d4a256dda74be91243933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2.1 Problematización y Construcción del Objeto de Estudio</w:t>
      </w:r>
    </w:p>
    <w:p>
      <w:pPr>
        <w:pStyle w:val="FirstParagraph"/>
      </w:pPr>
      <w:r>
        <w:t xml:space="preserve">Construir un problema científico exige desnaturalizar las rutinas cotidianas de la organización para reflexionar sobre sus supuestos teórico-metodológicos</w:t>
      </w:r>
      <w:r>
        <w:t xml:space="preserve"> </w:t>
      </w:r>
      <w:r>
        <w:t xml:space="preserve">(Wainerman &amp; Sautu, 2011)</w:t>
      </w:r>
      <w:r>
        <w:t xml:space="preserve">. En la educación pública, la evaluación docente suele debatirse entre dos lógicas: el control formal-estatutario y el acompañamiento formativo enfocado en el desarrollo continuo</w:t>
      </w:r>
      <w:r>
        <w:t xml:space="preserve"> </w:t>
      </w:r>
      <w:r>
        <w:t xml:space="preserve">(Longo, 2006)</w:t>
      </w:r>
      <w:r>
        <w:t xml:space="preserve">.</w:t>
      </w:r>
    </w:p>
    <w:p>
      <w:pPr>
        <w:pStyle w:val="BodyText"/>
      </w:pPr>
      <w:r>
        <w:t xml:space="preserve">En este sentido, la investigación no parte de suponer una falta de mecanismos de evaluación —ya que existen normas y procedimientos vigentes—, sino de indagar la</w:t>
      </w:r>
      <w:r>
        <w:t xml:space="preserve"> </w:t>
      </w:r>
      <w:r>
        <w:rPr>
          <w:b/>
          <w:bCs/>
        </w:rPr>
        <w:t xml:space="preserve">posible desconexión entre los circuitos de evaluación del rendimiento y las oportunidades reales de desarrollo pedagógico</w:t>
      </w:r>
      <w:r>
        <w:t xml:space="preserve">. Si bien se aplican periódicamente encuestas a estudiantes,</w:t>
      </w:r>
      <w:r>
        <w:t xml:space="preserve"> </w:t>
      </w:r>
      <w:r>
        <w:rPr>
          <w:b/>
          <w:bCs/>
        </w:rPr>
        <w:t xml:space="preserve">se plantea como hipótesis a contrastar si estos instrumentos son percibidos en la práctica como un trámite formal</w:t>
      </w:r>
      <w:r>
        <w:t xml:space="preserve">, con escasa incidencia en la autoevaluación docente, el diálogo entre pares o la planificación del departamento.</w:t>
      </w:r>
    </w:p>
    <w:p>
      <w:pPr>
        <w:pStyle w:val="BodyText"/>
      </w:pPr>
      <w:r>
        <w:t xml:space="preserve">Para responder a este interrogante, la literatura especializada destaca el modelo de</w:t>
      </w:r>
      <w:r>
        <w:t xml:space="preserve"> </w:t>
      </w:r>
      <w:r>
        <w:rPr>
          <w:b/>
          <w:bCs/>
        </w:rPr>
        <w:t xml:space="preserve">evaluación multiactoral o 360 grados</w:t>
      </w:r>
      <w:r>
        <w:t xml:space="preserve"> </w:t>
      </w:r>
      <w:r>
        <w:t xml:space="preserve">(Dalmau et al., 2017; Lepsinger &amp; Lucia, 2009)</w:t>
      </w:r>
      <w:r>
        <w:t xml:space="preserve"> </w:t>
      </w:r>
      <w:r>
        <w:t xml:space="preserve">como una herramienta idónea para articular distintas fuentes de retroalimentación: la reflexión del propio docente, el juicio de colegas de cátedra, la valoración de los estudiantes y el seguimiento institucional.</w:t>
      </w:r>
    </w:p>
    <w:p>
      <w:pPr>
        <w:pStyle w:val="BodyText"/>
      </w:pPr>
      <w:r>
        <w:t xml:space="preserve">Conviene advertir que</w:t>
      </w:r>
      <w:r>
        <w:t xml:space="preserve"> </w:t>
      </w:r>
      <w:r>
        <w:rPr>
          <w:b/>
          <w:bCs/>
        </w:rPr>
        <w:t xml:space="preserve">la evaluación 360° no garantiza resultados formativos de forma automática</w:t>
      </w:r>
      <w:r>
        <w:t xml:space="preserve">. Las investigaciones comparadas señalan que su viabilidad depende de condiciones precisas: anonimato y confidencialidad de los datos, instrumentos pedagógicamente válidos, sensibilización previa de los claustros y un clima institucional de confianza que aleje cualquier percepción de control punitivo.</w:t>
      </w:r>
    </w:p>
    <w:p>
      <w:pPr>
        <w:pStyle w:val="BodyText"/>
      </w:pPr>
      <w:r>
        <w:t xml:space="preserve">En una universidad pública cogobernada, es indispensable</w:t>
      </w:r>
      <w:r>
        <w:t xml:space="preserve"> </w:t>
      </w:r>
      <w:r>
        <w:rPr>
          <w:b/>
          <w:bCs/>
        </w:rPr>
        <w:t xml:space="preserve">diferenciar la evaluación orientada a la mejora pedagógica de aquella vinculada a decisiones laborales sumativas</w:t>
      </w:r>
      <w:r>
        <w:t xml:space="preserve"> </w:t>
      </w:r>
      <w:r>
        <w:t xml:space="preserve">(como la permanencia o promoción regladas por la Ordenanza N° 0920/2019 y modificatorias, y el CCT Docente, Decreto N° 1246/2015). Trasladar herramientas de gestión sin cuidar esta frontera o sin el acuerdo de los claustros podría despertar comprensibles prevenciones. Por eso, la viabilidad de cualquier propuesta descansa en la</w:t>
      </w:r>
      <w:r>
        <w:t xml:space="preserve"> </w:t>
      </w:r>
      <w:r>
        <w:rPr>
          <w:b/>
          <w:bCs/>
        </w:rPr>
        <w:t xml:space="preserve">gobernanza universitaria</w:t>
      </w:r>
      <w:r>
        <w:t xml:space="preserve">: un espacio colegiado donde las políticas de gestión de personas se construyen sobre</w:t>
      </w:r>
      <w:r>
        <w:t xml:space="preserve"> </w:t>
      </w:r>
      <w:r>
        <w:rPr>
          <w:i/>
          <w:iCs/>
        </w:rPr>
        <w:t xml:space="preserve">variables de control compartido</w:t>
      </w:r>
      <w:r>
        <w:t xml:space="preserve"> </w:t>
      </w:r>
      <w:r>
        <w:t xml:space="preserve">(Longo, 2006; Matus, 1993)</w:t>
      </w:r>
      <w:r>
        <w:t xml:space="preserve">.</w:t>
      </w:r>
    </w:p>
    <w:bookmarkEnd w:id="19"/>
    <w:bookmarkStart w:id="20" w:name="Xd94378588030de20cc99227353d9ba92b45f085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2.2 Desglose de las Cuatro (4) Delimitaciones Metodológicas</w:t>
      </w:r>
    </w:p>
    <w:p>
      <w:pPr>
        <w:pStyle w:val="FirstParagraph"/>
      </w:pPr>
      <w:r>
        <w:t xml:space="preserve">Siguiendo las pautas de la cátedra, la delimitación del problema comprende cuatro dimensiones constitutivas: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Temática:</w:t>
      </w:r>
      <w:r>
        <w:t xml:space="preserve"> </w:t>
      </w:r>
      <w:r>
        <w:t xml:space="preserve">Mecanismos de estructuración de la evaluación del desempeño docente y análisis de factibilidad para implementar un modelo de retroalimentación multiactoral (360°), articulando autoevaluación, valoración de pares, opinión de estudiantes y seguimiento departamental.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Semántica y Teórica:</w:t>
      </w:r>
      <w:r>
        <w:t xml:space="preserve"> </w:t>
      </w:r>
      <w:r>
        <w:t xml:space="preserve">Precisión de conceptos estructurantes:</w:t>
      </w:r>
      <w:r>
        <w:t xml:space="preserve"> </w:t>
      </w:r>
      <w:r>
        <w:rPr>
          <w:i/>
          <w:iCs/>
        </w:rPr>
        <w:t xml:space="preserve">Evaluación del Desempeño Docente</w:t>
      </w:r>
      <w:r>
        <w:t xml:space="preserve"> </w:t>
      </w:r>
      <w:r>
        <w:t xml:space="preserve">(apreciación formativa del quehacer pedagógico en el subsistema de rendimiento);</w:t>
      </w:r>
      <w:r>
        <w:t xml:space="preserve"> </w:t>
      </w:r>
      <w:r>
        <w:rPr>
          <w:i/>
          <w:iCs/>
        </w:rPr>
        <w:t xml:space="preserve">Modelo 360° / Retroalimentación Multiactoral</w:t>
      </w:r>
      <w:r>
        <w:t xml:space="preserve"> </w:t>
      </w:r>
      <w:r>
        <w:t xml:space="preserve">(dispositivo de consulta y triangulación de juicios valorativos);</w:t>
      </w:r>
      <w:r>
        <w:t xml:space="preserve"> </w:t>
      </w:r>
      <w:r>
        <w:rPr>
          <w:i/>
          <w:iCs/>
        </w:rPr>
        <w:t xml:space="preserve">Gobernanza Universitaria</w:t>
      </w:r>
      <w:r>
        <w:t xml:space="preserve"> </w:t>
      </w:r>
      <w:r>
        <w:t xml:space="preserve">[cogobierno, diálogo paritario y control compartido de variables institucionales;</w:t>
      </w:r>
      <w:r>
        <w:t xml:space="preserve"> </w:t>
      </w:r>
      <w:r>
        <w:t xml:space="preserve">Matus (1993)</w:t>
      </w:r>
      <w:r>
        <w:t xml:space="preserve">]; y</w:t>
      </w:r>
      <w:r>
        <w:t xml:space="preserve"> </w:t>
      </w:r>
      <w:r>
        <w:rPr>
          <w:i/>
          <w:iCs/>
        </w:rPr>
        <w:t xml:space="preserve">Gestión del Desarrollo</w:t>
      </w:r>
      <w:r>
        <w:t xml:space="preserve"> </w:t>
      </w:r>
      <w:r>
        <w:t xml:space="preserve">[aprendizaje continuo y formación pedagógica articulada;</w:t>
      </w:r>
      <w:r>
        <w:t xml:space="preserve"> </w:t>
      </w:r>
      <w:r>
        <w:t xml:space="preserve">Longo (2006)</w:t>
      </w:r>
      <w:r>
        <w:t xml:space="preserve">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Temporal:</w:t>
      </w:r>
      <w:r>
        <w:t xml:space="preserve"> </w:t>
      </w:r>
      <w:r>
        <w:t xml:space="preserve">Período de investigación</w:t>
      </w:r>
      <w:r>
        <w:t xml:space="preserve"> </w:t>
      </w:r>
      <w:r>
        <w:rPr>
          <w:b/>
          <w:bCs/>
        </w:rPr>
        <w:t xml:space="preserve">2025–2026</w:t>
      </w:r>
      <w:r>
        <w:t xml:space="preserve">, organizado en dos etapas: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Fase preliminar y documental (2025):</w:t>
      </w:r>
      <w:r>
        <w:t xml:space="preserve"> </w:t>
      </w:r>
      <w:r>
        <w:t xml:space="preserve">Formulación del problema, revisión bibliográfica sistemática sobre evaluación 360°, análisis normativo institucional (Estatuto UNCo, Ordenanzas CS N° 470/2009 y N° 0920/2019 con sus modificatorias, y CCT Docente Decreto N° 1246/2015) y diseño metodológico.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Fase empírica y propositiva (2026):</w:t>
      </w:r>
      <w:r>
        <w:t xml:space="preserve"> </w:t>
      </w:r>
      <w:r>
        <w:t xml:space="preserve">Trabajo de campo mediante entrevistas a autoridades y docentes, encuestas a estudiantes, análisis multidimensional de factibilidad e informe final de Tesina para el Seminario de Integración y Aplicación (SIA).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Geográfica e Institucional:</w:t>
      </w:r>
      <w:r>
        <w:t xml:space="preserve"> </w:t>
      </w:r>
      <w:r>
        <w:t xml:space="preserve">Departamento de Administración Pública, Complejo Universitario Regional Zona Atlántica y Sur (CURZAS), Universidad Nacional del Comahue, ciudad de Viedma, Río Negro.</w:t>
      </w:r>
    </w:p>
    <w:bookmarkEnd w:id="20"/>
    <w:bookmarkStart w:id="24" w:name="Xeb201754d94bbce47beccc43470bd16217c3db3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2.3 Operacionalización de las Dimensiones de Factibilidad</w:t>
      </w:r>
    </w:p>
    <w:bookmarkStart w:id="21" w:name="Xcdb87a96a95f00839381972ad43f2df4cfe9f8a"/>
    <w:p>
      <w:pPr>
        <w:pStyle w:val="Heading3"/>
        <w:keepNext/>
        <w:spacing w:before="160" w:after="40" w:line="300" w:lineRule="auto"/>
      </w:pPr>
      <w:r>
        <w:rPr>
          <w:rFonts w:ascii="Arial" w:hAnsi="Arial"/>
          <w:b/>
          <w:i/>
          <w:sz w:val="24"/>
        </w:rPr>
        <w:t xml:space="preserve">2.3.1 Definición Conceptual y Operativa de Factibilidad</w:t>
      </w:r>
    </w:p>
    <w:p>
      <w:pPr>
        <w:pStyle w:val="FirstParagraph"/>
      </w:pPr>
      <w:r>
        <w:t xml:space="preserve">En el marco de la gestión pública universitaria, la</w:t>
      </w:r>
      <w:r>
        <w:t xml:space="preserve"> </w:t>
      </w:r>
      <w:r>
        <w:rPr>
          <w:b/>
          <w:bCs/>
        </w:rPr>
        <w:t xml:space="preserve">factibilidad</w:t>
      </w:r>
      <w:r>
        <w:t xml:space="preserve"> </w:t>
      </w:r>
      <w:r>
        <w:t xml:space="preserve">en esta investigación no se concibe como una viabilidad técnica abstracta ni como una imposición gerencial vertical. Se define operativamente como la</w:t>
      </w:r>
      <w:r>
        <w:t xml:space="preserve"> </w:t>
      </w:r>
      <w:r>
        <w:rPr>
          <w:b/>
          <w:bCs/>
        </w:rPr>
        <w:t xml:space="preserve">convergencia de condiciones normativas, organizacionales, técnicas y de legitimidad institucional que permitan implementar un modelo de retroalimentación 360° con sentido formativo y sin vulnerar derechos laborales adquiridos</w:t>
      </w:r>
      <w:r>
        <w:t xml:space="preserve">.</w:t>
      </w:r>
    </w:p>
    <w:p>
      <w:pPr>
        <w:pStyle w:val="BodyText"/>
      </w:pPr>
      <w:r>
        <w:t xml:space="preserve">En términos prácticos, determinar si el modelo es factible en el Departamento de Administración Pública del CURZAS implica responder a cuatro interrogantes centrales: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Compatibilidad jurídica:</w:t>
      </w:r>
      <w:r>
        <w:t xml:space="preserve"> </w:t>
      </w:r>
      <w:r>
        <w:t xml:space="preserve">¿Puede aplicarse con fines formativos sin colisionar con la estabilidad laboral regulada por el Estatuto UNCo, la Carrera Docente (Ord. N° 0920/2019 y modificatorias) y el CCT Docente (Decreto N° 1246/2015)?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Capacidad técnica y de gestión:</w:t>
      </w:r>
      <w:r>
        <w:t xml:space="preserve"> </w:t>
      </w:r>
      <w:r>
        <w:t xml:space="preserve">¿Existen plataformas informáticas (SIU-Guaraní, campus virtual) y circuitos administrativos capaces de resguardar el anonimato y procesar devoluciones oportunas?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Aceptación y confianza de los claustros:</w:t>
      </w:r>
      <w:r>
        <w:t xml:space="preserve"> </w:t>
      </w:r>
      <w:r>
        <w:t xml:space="preserve">¿Existe disposición en docentes, estudiantes y autoridades para participar en una evaluación multiactoral, disipando temores a controles punitivos?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Legitimidad en el cogobierno:</w:t>
      </w:r>
      <w:r>
        <w:t xml:space="preserve"> </w:t>
      </w:r>
      <w:r>
        <w:t xml:space="preserve">¿Cuenta la propuesta con viabilidad política para ser tratada y consensuada en los órganos colegiados sobre variables de control compartido</w:t>
      </w:r>
      <w:r>
        <w:t xml:space="preserve"> </w:t>
      </w:r>
      <w:r>
        <w:t xml:space="preserve">(Longo, 2006; Matus, 1993)</w:t>
      </w:r>
      <w:r>
        <w:t xml:space="preserve">?</w:t>
      </w:r>
    </w:p>
    <w:bookmarkEnd w:id="21"/>
    <w:bookmarkStart w:id="22" w:name="X5965ca74dc7a4b9398fc285497af16a05ed033f"/>
    <w:p>
      <w:pPr>
        <w:pStyle w:val="Heading3"/>
        <w:keepNext/>
        <w:spacing w:before="160" w:after="40" w:line="300" w:lineRule="auto"/>
      </w:pPr>
      <w:r>
        <w:rPr>
          <w:rFonts w:ascii="Arial" w:hAnsi="Arial"/>
          <w:b/>
          <w:i/>
          <w:sz w:val="24"/>
        </w:rPr>
        <w:t xml:space="preserve">2.3.2 Dimensiones de Observación y Fuentes Empíricas</w:t>
      </w:r>
    </w:p>
    <w:p>
      <w:pPr>
        <w:pStyle w:val="FirstParagraph"/>
      </w:pPr>
      <w:r>
        <w:t xml:space="preserve">Para contrastar estos aspectos en el trabajo de campo, la investigación desagrega la factibilidad en cinco dimensiones observables: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000000"/>
          <w:left w:val="none"/>
          <w:bottom w:val="single" w:sz="8" w:space="0" w:color="000000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Dimensión de Factibilidad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Criterios y Aspectos a Observar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Indicadores y Fuentes Empíricas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Normativa y Estatutaria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con el Estatuto UNCo (Ord. 470/2009 y modif.), la Carrera Docente (Ord. N° 0920/2019 y modificatorias) y el CCT Docente (Decreto N° 1246/2015)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documental normativo; ausencia de colisión con la estabilidad y derechos adquiridos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Técnica e Instrumental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 de plataformas digitales, recursos informáticos y diseño pedagógico de 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Relevamiento de entornos virtuales (SIU-Guaraní, campus virtual); validez y confidencialidad técnica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Organizacional y Procedimental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 departamentales, comisiones curriculares, circuitos de devolución y tiempos de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Procedimientos administrativos instituidos; capacidad de canalizar la retroalimentación formativa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Cultural y Actitudinal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confianza institucional, cultura participativa y disposición de los claustros ante la coevaluación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Cuestionarios y entrevistas; percepción de utilidad pedagógica y eventuales prevenciones frente al control sumativo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Gobernanza y Política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y legitimación en el cogobierno (Consejo Directivo y Departamental) y mesas paritarias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Acuerdos colegiados; consulta a representaciones gremiales sobre variables de control compartido</w:t>
            </w:r>
          </w:p>
        </w:tc>
      </w:tr>
    </w:tbl>
    <w:bookmarkEnd w:id="22"/>
    <w:bookmarkStart w:id="23" w:name="X8f4da2a33d80423d494a47dd434126cfe1b5efc"/>
    <w:p>
      <w:pPr>
        <w:pStyle w:val="Heading3"/>
        <w:keepNext/>
        <w:spacing w:before="160" w:after="40" w:line="300" w:lineRule="auto"/>
      </w:pPr>
      <w:r>
        <w:rPr>
          <w:rFonts w:ascii="Arial" w:hAnsi="Arial"/>
          <w:b/>
          <w:i/>
          <w:sz w:val="24"/>
        </w:rPr>
        <w:t xml:space="preserve">2.3.3 Criterios Cualitativos para la Interpretación de Resultados</w:t>
      </w:r>
    </w:p>
    <w:p>
      <w:pPr>
        <w:pStyle w:val="FirstParagraph"/>
      </w:pPr>
      <w:r>
        <w:t xml:space="preserve">Para valorar las conclusiones del relevamiento empírico sin recurrir a mediciones forzadas, la investigación establece tres categorías cualitativas de interpretación: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Alta (Favorable):</w:t>
      </w:r>
      <w:r>
        <w:t xml:space="preserve"> </w:t>
      </w:r>
      <w:r>
        <w:t xml:space="preserve">Se verifica cuando existe compatibilidad normativa plena, soporte tecnológico adecuado, disposición favorable de los tres claustros (docentes, alumnos y directores) y viabilidad de tratamiento colegiado en el cogobierno.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Condicionada (Media / Viable con adecuaciones):</w:t>
      </w:r>
      <w:r>
        <w:t xml:space="preserve"> </w:t>
      </w:r>
      <w:r>
        <w:t xml:space="preserve">Se constata cuando no existen impedimentos jurídicos ni rechazo de fondo, pero la aplicación requiere pasos previos de gestión institucional: acuerdos paritarios específicos sobre confidencialidad, adecuación de plataformas digitales, instancias de sensibilización docente o implementación gradual mediante pruebas piloto.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Baja (Desfavorable / Inviable):</w:t>
      </w:r>
      <w:r>
        <w:t xml:space="preserve"> </w:t>
      </w:r>
      <w:r>
        <w:t xml:space="preserve">Se determina ante la presencia de barreras estructurales no superables en el corto plazo, tales como colisión con el régimen estatutario de carrera docente, desconfianza generalizada en los claustros o carencia absoluta de soporte técnico y administrativo.</w:t>
      </w:r>
    </w:p>
    <w:bookmarkEnd w:id="23"/>
    <w:bookmarkEnd w:id="24"/>
    <w:bookmarkStart w:id="25" w:name="pregunta-general-de-investigación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2.4 Pregunta General de Investigación</w:t>
      </w:r>
    </w:p>
    <w:p>
      <w:pPr>
        <w:pStyle w:val="FirstParagraph"/>
      </w:pPr>
      <w:r>
        <w:t xml:space="preserve">A partir de las precisiones metodológicas señaladas, se formula el interrogante central de la investigación:</w:t>
      </w:r>
    </w:p>
    <w:p>
      <w:pPr>
        <w:pStyle w:val="BlockText"/>
      </w:pPr>
      <w:r>
        <w:rPr>
          <w:b/>
          <w:bCs/>
        </w:rPr>
        <w:t xml:space="preserve">¿De qué manera se estructuran los mecanismos de evaluación del desempeño docente y qué factibilidad presenta la implementación de un modelo de retroalimentación 360° en el Departamento de Administración Pública del CURZAS-UNCo (2025–2026)?</w:t>
      </w:r>
    </w:p>
    <w:bookmarkEnd w:id="25"/>
    <w:bookmarkEnd w:id="26"/>
    <w:bookmarkStart w:id="30" w:name="X681cec084bc0b6c304e32f87344fd4265dfa7e1"/>
    <w:p>
      <w:pPr>
        <w:pStyle w:val="Heading1"/>
        <w:keepNext/>
        <w:spacing w:before="240" w:after="120" w:line="300" w:lineRule="auto"/>
      </w:pPr>
      <w:r>
        <w:rPr>
          <w:rFonts w:ascii="Arial" w:hAnsi="Arial"/>
          <w:b/>
          <w:sz w:val="28"/>
        </w:rPr>
        <w:t xml:space="preserve">3. Justificación y Relevancia de la Investigación</w:t>
      </w:r>
    </w:p>
    <w:p>
      <w:pPr>
        <w:pStyle w:val="FirstParagraph"/>
      </w:pPr>
      <w:r>
        <w:t xml:space="preserve">A continuación, se explicita la pertinencia del estudio desde tres planos convergentes, en estricta consonancia con los criterios formales del Reglamento de TFG de la universidad:</w:t>
      </w:r>
    </w:p>
    <w:bookmarkStart w:id="27" w:name="plano-cognitivo-y-disciplinar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3.1 Plano Cognitivo y Disciplinar</w:t>
      </w:r>
    </w:p>
    <w:p>
      <w:pPr>
        <w:pStyle w:val="FirstParagraph"/>
      </w:pPr>
      <w:r>
        <w:t xml:space="preserve">En el plano teórico, el trabajo busca aportar al campo de la Administración Pública y la Gestión de Recursos Humanos en el sector estatal, dialogando con los enfoques sobre modernización y capacidades institucionales</w:t>
      </w:r>
      <w:r>
        <w:t xml:space="preserve"> </w:t>
      </w:r>
      <w:r>
        <w:t xml:space="preserve">(Oszlak, 2020)</w:t>
      </w:r>
      <w:r>
        <w:t xml:space="preserve">. La implementación de modelos de retroalimentación 360° en universidades públicas argentinas —con estructuras de cogobierno, autonomía y regímenes paritarios específicos— representa un área de vacancia que amerita ser investigada de forma situada.</w:t>
      </w:r>
    </w:p>
    <w:p>
      <w:pPr>
        <w:pStyle w:val="BodyText"/>
      </w:pPr>
      <w:r>
        <w:t xml:space="preserve">Asimismo, la investigación operacionaliza el Subsistema de Gestión del Rendimiento de</w:t>
      </w:r>
      <w:r>
        <w:t xml:space="preserve"> </w:t>
      </w:r>
      <w:r>
        <w:t xml:space="preserve">Longo (2006)</w:t>
      </w:r>
      <w:r>
        <w:t xml:space="preserve"> </w:t>
      </w:r>
      <w:r>
        <w:t xml:space="preserve">en una universidad patagónica. Se examina en qué condiciones la evaluación docente puede orientarse al aprendizaje continuo, generando evidencia empírica sobre la articulación entre gobernanza colegiada y dispositivos de retroalimentación en organizaciones públicas complejas.</w:t>
      </w:r>
    </w:p>
    <w:bookmarkEnd w:id="27"/>
    <w:bookmarkStart w:id="28" w:name="plano-social-e-institucional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3.2 Plano Social e Institucional</w:t>
      </w:r>
    </w:p>
    <w:p>
      <w:pPr>
        <w:pStyle w:val="FirstParagraph"/>
      </w:pPr>
      <w:r>
        <w:t xml:space="preserve">A nivel social e institucional, el trabajo ofrece un valor concreto al CURZAS y a la UNCo al producir un diagnóstico riguroso sobre la viabilidad de renovar las prácticas evaluativas. En caso de constatarse su factibilidad, la retroalimentación multiactoral podría fortalecer la cultura de mejora continua y transparencia en la educación superior pública.</w:t>
      </w:r>
    </w:p>
    <w:p>
      <w:pPr>
        <w:pStyle w:val="BodyText"/>
      </w:pPr>
      <w:r>
        <w:t xml:space="preserve">Asimismo, la investigación considera las expectativas y percepciones de los distintos claustros: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Cuerpo docente:</w:t>
      </w:r>
      <w:r>
        <w:t xml:space="preserve"> </w:t>
      </w:r>
      <w:r>
        <w:t xml:space="preserve">Permite conocer si la autoevaluación y el intercambio reflexivo entre pares son valorados como un apoyo formativo para la Carrera Docente (Ord. N° 0920/2019 y modificatorias; CCT Docente, Decreto N° 1246/2015), o si generan reparos frente a sobrecargas de tareas o al uso de la información.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Claustro estudiantil:</w:t>
      </w:r>
      <w:r>
        <w:t xml:space="preserve"> </w:t>
      </w:r>
      <w:r>
        <w:t xml:space="preserve">Indaga la disposición de los estudiantes para que su opinión trascienda la encuesta administrativa de cierre lectivo y se convierta en un insumo constructivo para mejorar la enseñanza.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departamentales:</w:t>
      </w:r>
      <w:r>
        <w:t xml:space="preserve"> </w:t>
      </w:r>
      <w:r>
        <w:t xml:space="preserve">Posibilita diagnosticar las capacidades técnicas y de gestión necesarias para procesar juicios evaluativos múltiples e integrarlos a la planificación académica y a los planes de capacitación.</w:t>
      </w:r>
    </w:p>
    <w:bookmarkEnd w:id="28"/>
    <w:bookmarkStart w:id="29" w:name="plano-personal-y-profesional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3.3 Plano Personal y Profesional</w:t>
      </w:r>
    </w:p>
    <w:p>
      <w:pPr>
        <w:pStyle w:val="FirstParagraph"/>
      </w:pPr>
      <w:r>
        <w:t xml:space="preserve">En el orden formativo, el proyecto articula la Licenciatura en Gestión de Recursos Humanos con la formación previa como Técnico Superior en Recursos Humanos y los marcos de la Administración Pública. Permite consolidar habilidades de diagnóstico organizacional e investigación aplicada en el ámbito universitario regional, reafirmando el compromiso ético con el fortalecimiento de la universidad pública en la Patagonia.</w:t>
      </w:r>
    </w:p>
    <w:bookmarkEnd w:id="29"/>
    <w:bookmarkEnd w:id="30"/>
    <w:bookmarkStart w:id="34" w:name="definición-de-objetivos-del-tfg"/>
    <w:p>
      <w:pPr>
        <w:pStyle w:val="Heading1"/>
        <w:keepNext/>
        <w:spacing w:before="240" w:after="120" w:line="300" w:lineRule="auto"/>
      </w:pPr>
      <w:r>
        <w:rPr>
          <w:rFonts w:ascii="Arial" w:hAnsi="Arial"/>
          <w:b/>
          <w:sz w:val="28"/>
        </w:rPr>
        <w:t xml:space="preserve">4. Definición de Objetivos del TFG</w:t>
      </w:r>
    </w:p>
    <w:p>
      <w:pPr>
        <w:pStyle w:val="FirstParagraph"/>
      </w:pPr>
      <w:r>
        <w:t xml:space="preserve">En este apartado se formulan las metas analíticas del proyecto en congruencia directa con la pregunta general de investigación y las dimensiones metodológicas planteadas:</w:t>
      </w:r>
    </w:p>
    <w:bookmarkStart w:id="31" w:name="objetivo-general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4.1 Objetivo General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Analizar</w:t>
      </w:r>
      <w:r>
        <w:t xml:space="preserve"> </w:t>
      </w:r>
      <w:r>
        <w:t xml:space="preserve">los mecanismos de estructuración de la evaluación del desempeño docente y determinar las condiciones de factibilidad organizacional, técnica, normativa y de gobernanza para la eventual implementación de un modelo de retroalimentación multiactoral (360°) en el Departamento de Administración Pública del CURZAS-UNCo (2025–2026).</w:t>
      </w:r>
    </w:p>
    <w:bookmarkEnd w:id="31"/>
    <w:bookmarkStart w:id="32" w:name="objetivos-específicos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4.2 Objetivos Específicos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Relevar y caracterizar</w:t>
      </w:r>
      <w:r>
        <w:t xml:space="preserve"> </w:t>
      </w:r>
      <w:r>
        <w:t xml:space="preserve">los instrumentos normativos, procedimientos y prácticas vigentes aplicadas a la evaluación del desempeño docente en el Departamento de Administración Pública del CURZAS-UNCo, distinguiendo las prescripciones estatutarias de su implementación efectiva.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Explorar las percepciones, disposiciones y expectativas</w:t>
      </w:r>
      <w:r>
        <w:t xml:space="preserve"> </w:t>
      </w:r>
      <w:r>
        <w:t xml:space="preserve">de los distintos claustros involucrados (docentes, estudiantes y directores de departamento) respecto a la retroalimentación multiactoral (360°) y las condiciones de confianza institucional requeridas.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Identificar los condicionantes técnico-organizacionales, normativos y de gobernanza</w:t>
      </w:r>
      <w:r>
        <w:t xml:space="preserve"> </w:t>
      </w:r>
      <w:r>
        <w:t xml:space="preserve">(acuerdos paritarios, Carrera Docente según Ord. N° 0920/2019 y sus modificatorias, confidencialidad y cogobierno) que inciden en la factibilidad del modelo.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Proponer lineamientos orientativos</w:t>
      </w:r>
      <w:r>
        <w:t xml:space="preserve"> </w:t>
      </w:r>
      <w:r>
        <w:t xml:space="preserve">para una eventual implementación de un modelo de retroalimentación multiactoral (360°), en función de las condiciones y límites de factibilidad identificados en la investigación empírica.</w:t>
      </w:r>
    </w:p>
    <w:bookmarkEnd w:id="32"/>
    <w:bookmarkStart w:id="33" w:name="X296c76344d338238a09b1d3109b3b1ec06ec08f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4.3 Matriz de Consistencia Metodológica y Articulación con Longo (2006)</w:t>
      </w:r>
    </w:p>
    <w:p>
      <w:pPr>
        <w:pStyle w:val="FirstParagraph"/>
      </w:pPr>
      <w:r>
        <w:t xml:space="preserve">Para dotar de consistencia analítica a la investigación, cada subsistema del modelo de</w:t>
      </w:r>
      <w:r>
        <w:t xml:space="preserve"> </w:t>
      </w:r>
      <w:r>
        <w:t xml:space="preserve">Longo (2006)</w:t>
      </w:r>
      <w:r>
        <w:t xml:space="preserve"> </w:t>
      </w:r>
      <w:r>
        <w:t xml:space="preserve">aporta una clave interpretativa específica al problema planteado: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del Rendimiento:</w:t>
      </w:r>
      <w:r>
        <w:t xml:space="preserve"> </w:t>
      </w:r>
      <w:r>
        <w:t xml:space="preserve">actúa como eje estructurante para examinar los mecanismos evaluativos vigentes y explorar su potencial transformación hacia una lógica formativa e integral.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Organización del Trabajo:</w:t>
      </w:r>
      <w:r>
        <w:t xml:space="preserve"> </w:t>
      </w:r>
      <w:r>
        <w:t xml:space="preserve">permite contrastar los perfiles, funciones docentes y exigencias pedagógicas (presenciales e híbridas en los nodos territoriales) con los criterios reales de evaluación.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del Desarrollo:</w:t>
      </w:r>
      <w:r>
        <w:t xml:space="preserve"> </w:t>
      </w:r>
      <w:r>
        <w:t xml:space="preserve">analiza la articulación efectiva entre los resultados evaluativos y los planes de capacitación continua, perfeccionamiento didáctico y carrera docente.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 las Relaciones Humanas y Sociales:</w:t>
      </w:r>
      <w:r>
        <w:t xml:space="preserve"> </w:t>
      </w:r>
      <w:r>
        <w:t xml:space="preserve">indaga el clima laboral, la confianza interclaustros y los acuerdos paritarios indispensables para legitimar la coevaluación y disipar temores al control punitivo.</w:t>
      </w:r>
    </w:p>
    <w:p>
      <w:pPr>
        <w:pStyle w:val="BodyText"/>
      </w:pPr>
      <w:r>
        <w:t xml:space="preserve">En consecuencia, el modelo de Longo no se utiliza únicamente como encuadre teórico, sino como criterio de lectura para analizar la articulación entre evaluación del desempeño, desarrollo de capacidades docentes, organización del trabajo y relaciones institucionales, permitiendo identificar condiciones que favorecen o limitan la factibilidad de una retroalimentación 360°.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000000"/>
          <w:left w:val="none"/>
          <w:bottom w:val="single" w:sz="8" w:space="0" w:color="000000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Nivel de Objetivo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Dimensión y Acción Metodológica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Subsistema de RR.HH. (Longo, 2006)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Fuente, Actor e Instrumento Previsto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Factibilidad integral:</w:t>
            </w:r>
            <w:r>
              <w:t xml:space="preserve"> </w:t>
            </w:r>
            <w:r>
              <w:t xml:space="preserve">Análisis multidimensional de mecanismos actuales y viabilidad de retroalimentación 360°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rendimiento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Evaluación del desempeño y retroalimentación formativa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Claustros y autoridades del Departamento de Administración Pública (CURZAS-UNCo)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normativa-institucional:</w:t>
            </w:r>
            <w:r>
              <w:t xml:space="preserve"> </w:t>
            </w:r>
            <w:r>
              <w:t xml:space="preserve">Relevamiento y análisis documental de ordenanzas, reglamentos y prácticas vigentes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rendimiento en articulación con Organización del trabajo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Evaluación vigente y perfiles/funciones docentes según Estatuto y Ord. N° 0920/2019 y modificatorias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Estatuto UNCo (Ord. 470/2009 y modif.), Ord. N° 0920/2019 (y modif.) y CCT Docente (Decreto N° 1246/2015) (Matriz de análisis documental)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intersubjetiva-cultural:</w:t>
            </w:r>
            <w:r>
              <w:t xml:space="preserve"> </w:t>
            </w:r>
            <w:r>
              <w:t xml:space="preserve">Exploración de percepciones, disposiciones y expectativas ante la evaluación 360°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 las relaciones humanas y sociales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Cultura participativa, clima laboral y diálogo interclaustro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Docentes, estudiantes y directores de departamento (Guías de entrevista y cuestionarios diagnósticos)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técnico-viabilidad:</w:t>
            </w:r>
            <w:r>
              <w:t xml:space="preserve"> </w:t>
            </w:r>
            <w:r>
              <w:t xml:space="preserve">Identificación de condicionantes paritarios, procedimentales, gremiales y de confidencialidad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 las relaciones humanas (paritarias) en articulación con Gestión del empleo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Condiciones de trabajo, estabilidad y Carrera Docente - Dec. N° 1246/2015 y Ord. N° 0920/2019 y modif.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Representantes docentes y autoridades académicas (Matriz de análisis de viabilidad institucional)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propositiva-orientativa:</w:t>
            </w:r>
            <w:r>
              <w:t xml:space="preserve"> </w:t>
            </w:r>
            <w:r>
              <w:t xml:space="preserve">Proposición de lineamientos orientativos para una eventual aplicación formativa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desarrollo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Capacitación, aprendizaje continuo y mejora pedagógica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Síntesis analítica del proyecto adaptada al contexto institucional del CURZAS (Esquema metodológico orientativo)</w:t>
            </w:r>
          </w:p>
        </w:tc>
      </w:tr>
    </w:tbl>
    <w:p>
      <w:r>
        <w:br w:type="page"/>
      </w:r>
    </w:p>
    <w:bookmarkEnd w:id="33"/>
    <w:bookmarkEnd w:id="34"/>
    <w:bookmarkStart w:id="50" w:name="referencias"/>
    <w:p>
      <w:pPr>
        <w:pStyle w:val="Heading1"/>
        <w:keepNext/>
        <w:spacing w:before="240" w:after="120" w:line="300" w:lineRule="auto"/>
        <w:jc w:val="center"/>
      </w:pPr>
      <w:r>
        <w:rPr>
          <w:rFonts w:ascii="Arial" w:hAnsi="Arial"/>
          <w:b/>
          <w:sz w:val="28"/>
        </w:rPr>
        <w:t xml:space="preserve">Referencias</w:t>
      </w:r>
    </w:p>
    <w:bookmarkStart w:id="49" w:name="refs"/>
    <w:bookmarkStart w:id="35" w:name="ref-chiavenato2020"/>
    <w:p>
      <w:pPr>
        <w:pStyle w:val="Bibliography"/>
        <w:spacing w:after="120"/>
        <w:ind w:left="720" w:hanging="720"/>
        <w:jc w:val="left"/>
      </w:pPr>
      <w:r>
        <w:t xml:space="preserve">Chiavenato, I. (2020).</w:t>
      </w:r>
      <w:r>
        <w:t xml:space="preserve"> </w:t>
      </w:r>
      <w:r>
        <w:rPr>
          <w:i/>
          <w:iCs/>
        </w:rPr>
        <w:t xml:space="preserve">Gestión del talento humano: El nuevo papel de los recursos humanos en las organizaciones</w:t>
      </w:r>
      <w:r>
        <w:t xml:space="preserve"> </w:t>
      </w:r>
      <w:r>
        <w:t xml:space="preserve">(5.ª ed.). McGraw-Hill Interamericana.</w:t>
      </w:r>
    </w:p>
    <w:bookmarkEnd w:id="35"/>
    <w:bookmarkStart w:id="37" w:name="ref-dalmau2017"/>
    <w:p>
      <w:pPr>
        <w:pStyle w:val="Bibliography"/>
        <w:spacing w:after="120"/>
        <w:ind w:left="720" w:hanging="720"/>
        <w:jc w:val="left"/>
      </w:pPr>
      <w:r>
        <w:t xml:space="preserve">Dalmau, I., Llinares, S., &amp; Montañana, A. (2017). La evaluación docente del profesorado universitario mediante el modelo 360°: Hacia un sistema formativo e integral.</w:t>
      </w:r>
      <w:r>
        <w:t xml:space="preserve"> </w:t>
      </w:r>
      <w:r>
        <w:rPr>
          <w:i/>
          <w:iCs/>
        </w:rPr>
        <w:t xml:space="preserve">Revista de Docencia Universitaria</w:t>
      </w:r>
      <w:r>
        <w:t xml:space="preserve">,</w:t>
      </w:r>
      <w:r>
        <w:t xml:space="preserve"> </w:t>
      </w:r>
      <w:r>
        <w:rPr>
          <w:i/>
          <w:iCs/>
        </w:rPr>
        <w:t xml:space="preserve">15</w:t>
      </w:r>
      <w:r>
        <w:t xml:space="preserve">(2), 245-266.</w:t>
      </w:r>
      <w:r>
        <w:t xml:space="preserve"> </w:t>
      </w:r>
      <w:hyperlink r:id="rId36">
        <w:r>
          <w:rPr>
            <w:rStyle w:val="Hyperlink"/>
          </w:rPr>
          <w:t xml:space="preserve">https://doi.org/10.4995/redu.2017.6053</w:t>
        </w:r>
      </w:hyperlink>
    </w:p>
    <w:bookmarkEnd w:id="37"/>
    <w:bookmarkStart w:id="38" w:name="ref-pen2015"/>
    <w:p>
      <w:pPr>
        <w:pStyle w:val="Bibliography"/>
        <w:spacing w:after="120"/>
        <w:ind w:left="720" w:hanging="720"/>
        <w:jc w:val="left"/>
      </w:pPr>
      <w:r>
        <w:t xml:space="preserve">Decreto N° 1246/2015. Convenio Colectivo de Trabajo para los Docentes de las Instituciones Universitarias Nacionales (2015).</w:t>
      </w:r>
    </w:p>
    <w:bookmarkEnd w:id="38"/>
    <w:bookmarkStart w:id="39" w:name="ref-lepsinger2009"/>
    <w:p>
      <w:pPr>
        <w:pStyle w:val="Bibliography"/>
        <w:spacing w:after="120"/>
        <w:ind w:left="720" w:hanging="720"/>
        <w:jc w:val="left"/>
      </w:pPr>
      <w:r>
        <w:t xml:space="preserve">Lepsinger, R., &amp; Lucia, A. D. (2009).</w:t>
      </w:r>
      <w:r>
        <w:t xml:space="preserve"> </w:t>
      </w:r>
      <w:r>
        <w:rPr>
          <w:i/>
          <w:iCs/>
        </w:rPr>
        <w:t xml:space="preserve">The art and science of 360 degree feedback</w:t>
      </w:r>
      <w:r>
        <w:t xml:space="preserve"> </w:t>
      </w:r>
      <w:r>
        <w:t xml:space="preserve">(2.ª ed.). Pfeiffer.</w:t>
      </w:r>
    </w:p>
    <w:bookmarkEnd w:id="39"/>
    <w:bookmarkStart w:id="40" w:name="ref-ministerio1995"/>
    <w:p>
      <w:pPr>
        <w:pStyle w:val="Bibliography"/>
        <w:spacing w:after="120"/>
        <w:ind w:left="720" w:hanging="720"/>
        <w:jc w:val="left"/>
      </w:pPr>
      <w:r>
        <w:t xml:space="preserve">Ley N° 24.521 de Educación Superior (1995).</w:t>
      </w:r>
    </w:p>
    <w:bookmarkEnd w:id="40"/>
    <w:bookmarkStart w:id="41" w:name="ref-longo2006"/>
    <w:p>
      <w:pPr>
        <w:pStyle w:val="Bibliography"/>
        <w:spacing w:after="120"/>
        <w:ind w:left="720" w:hanging="720"/>
        <w:jc w:val="left"/>
      </w:pPr>
      <w:r>
        <w:t xml:space="preserve">Longo, F. (2006).</w:t>
      </w:r>
      <w:r>
        <w:t xml:space="preserve"> </w:t>
      </w:r>
      <w:r>
        <w:rPr>
          <w:i/>
          <w:iCs/>
        </w:rPr>
        <w:t xml:space="preserve">Mérito y flexibilidad: La gestión de las personas en las organizaciones del sector público</w:t>
      </w:r>
      <w:r>
        <w:t xml:space="preserve">. Paidós.</w:t>
      </w:r>
    </w:p>
    <w:bookmarkEnd w:id="41"/>
    <w:bookmarkStart w:id="42" w:name="ref-matus1993"/>
    <w:p>
      <w:pPr>
        <w:pStyle w:val="Bibliography"/>
        <w:spacing w:after="120"/>
        <w:ind w:left="720" w:hanging="720"/>
        <w:jc w:val="left"/>
      </w:pPr>
      <w:r>
        <w:t xml:space="preserve">Matus, C. (1993).</w:t>
      </w:r>
      <w:r>
        <w:t xml:space="preserve"> </w:t>
      </w:r>
      <w:r>
        <w:rPr>
          <w:i/>
          <w:iCs/>
        </w:rPr>
        <w:t xml:space="preserve">Política, planificación y gobierno</w:t>
      </w:r>
      <w:r>
        <w:t xml:space="preserve">. Fundación ALTIDIR.</w:t>
      </w:r>
    </w:p>
    <w:bookmarkEnd w:id="42"/>
    <w:bookmarkStart w:id="43" w:name="ref-oszlak2020"/>
    <w:p>
      <w:pPr>
        <w:pStyle w:val="Bibliography"/>
        <w:spacing w:after="120"/>
        <w:ind w:left="720" w:hanging="720"/>
        <w:jc w:val="left"/>
      </w:pPr>
      <w:r>
        <w:t xml:space="preserve">Oszlak, O. (2020).</w:t>
      </w:r>
      <w:r>
        <w:t xml:space="preserve"> </w:t>
      </w:r>
      <w:r>
        <w:rPr>
          <w:i/>
          <w:iCs/>
        </w:rPr>
        <w:t xml:space="preserve">El Estado en la era del exponente tecnológico: Hacia una burocracia 4.0</w:t>
      </w:r>
      <w:r>
        <w:t xml:space="preserve">. Instituto Nacional de la Administración Pública.</w:t>
      </w:r>
    </w:p>
    <w:bookmarkEnd w:id="43"/>
    <w:bookmarkStart w:id="44" w:name="ref-sautu2005"/>
    <w:p>
      <w:pPr>
        <w:pStyle w:val="Bibliography"/>
        <w:spacing w:after="120"/>
        <w:ind w:left="720" w:hanging="720"/>
        <w:jc w:val="left"/>
      </w:pPr>
      <w:r>
        <w:t xml:space="preserve">Sautu, R. (2005).</w:t>
      </w:r>
      <w:r>
        <w:t xml:space="preserve"> </w:t>
      </w:r>
      <w:r>
        <w:rPr>
          <w:i/>
          <w:iCs/>
        </w:rPr>
        <w:t xml:space="preserve">Todo es teoría: Objetivos y métodos de investigación</w:t>
      </w:r>
      <w:r>
        <w:t xml:space="preserve">. Lumiere.</w:t>
      </w:r>
    </w:p>
    <w:bookmarkEnd w:id="44"/>
    <w:bookmarkStart w:id="45" w:name="ref-unco2009"/>
    <w:p>
      <w:pPr>
        <w:pStyle w:val="Bibliography"/>
        <w:spacing w:after="120"/>
        <w:ind w:left="720" w:hanging="720"/>
        <w:jc w:val="left"/>
      </w:pPr>
      <w:r>
        <w:t xml:space="preserve">Universidad Nacional del Comahue. (2009).</w:t>
      </w:r>
      <w:r>
        <w:t xml:space="preserve"> </w:t>
      </w:r>
      <w:r>
        <w:rPr>
          <w:i/>
          <w:iCs/>
        </w:rPr>
        <w:t xml:space="preserve">Ordenanza N° 470/2009: Estatuto de la Universidad Nacional del Comahue</w:t>
      </w:r>
      <w:r>
        <w:t xml:space="preserve">.</w:t>
      </w:r>
    </w:p>
    <w:bookmarkEnd w:id="45"/>
    <w:bookmarkStart w:id="46" w:name="ref-unco2019"/>
    <w:p>
      <w:pPr>
        <w:pStyle w:val="Bibliography"/>
        <w:spacing w:after="120"/>
        <w:ind w:left="720" w:hanging="720"/>
        <w:jc w:val="left"/>
      </w:pPr>
      <w:r>
        <w:t xml:space="preserve">Universidad Nacional del Comahue. (2019).</w:t>
      </w:r>
      <w:r>
        <w:t xml:space="preserve"> </w:t>
      </w:r>
      <w:r>
        <w:rPr>
          <w:i/>
          <w:iCs/>
        </w:rPr>
        <w:t xml:space="preserve">Ordenanza N° 0920/2019: Reglamento de Carrera Docente</w:t>
      </w:r>
      <w:r>
        <w:t xml:space="preserve">.</w:t>
      </w:r>
    </w:p>
    <w:bookmarkEnd w:id="46"/>
    <w:bookmarkStart w:id="47" w:name="ref-uncocurzas2023"/>
    <w:p>
      <w:pPr>
        <w:pStyle w:val="Bibliography"/>
        <w:spacing w:after="120"/>
        <w:ind w:left="720" w:hanging="720"/>
        <w:jc w:val="left"/>
      </w:pPr>
      <w:r>
        <w:t xml:space="preserve">Universidad Nacional del Comahue - CURZAS. (2023).</w:t>
      </w:r>
      <w:r>
        <w:t xml:space="preserve"> </w:t>
      </w:r>
      <w:r>
        <w:rPr>
          <w:i/>
          <w:iCs/>
        </w:rPr>
        <w:t xml:space="preserve">Resolución CD-CURZAS N° 266/2023: Reglamento de Trabajo Final de Graduación (TFG) para las carreras del Departamento de Administración Pública</w:t>
      </w:r>
      <w:r>
        <w:t xml:space="preserve">.</w:t>
      </w:r>
    </w:p>
    <w:bookmarkEnd w:id="47"/>
    <w:bookmarkStart w:id="48" w:name="ref-wainerman2011"/>
    <w:p>
      <w:pPr>
        <w:pStyle w:val="Bibliography"/>
        <w:spacing w:after="120"/>
        <w:ind w:left="720" w:hanging="720"/>
        <w:jc w:val="left"/>
      </w:pPr>
      <w:r>
        <w:t xml:space="preserve">Wainerman, C., &amp; Sautu, R. (2011).</w:t>
      </w:r>
      <w:r>
        <w:t xml:space="preserve"> </w:t>
      </w:r>
      <w:r>
        <w:rPr>
          <w:i/>
          <w:iCs/>
        </w:rPr>
        <w:t xml:space="preserve">La trastienda de la investigación</w:t>
      </w:r>
      <w:r>
        <w:t xml:space="preserve"> </w:t>
      </w:r>
      <w:r>
        <w:t xml:space="preserve">(4.ª ed.). Manantial.</w:t>
      </w:r>
    </w:p>
    <w:bookmarkEnd w:id="48"/>
    <w:bookmarkEnd w:id="49"/>
    <w:bookmarkEnd w:id="50"/>
    <w:sectPr>
      <w:footerReference w:type="default" r:id="rId11"/>
      <w:footnotePr>
        <w:numRestart w:val="eachSect"/>
      </w:footnotePr>
      <w:pgMar w:top="1417" w:bottom="1417" w:left="1417" w:right="1417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Arial" w:hAnsi="Arial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360" w:lineRule="auto"/>
    </w:pPr>
    <w:rPr>
      <w:rFonts w:ascii="Arial" w:hAnsi="Arial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</w:pPr>
    <w:rPr>
      <w:rFonts w:ascii="Arial" w:hAnsi="Arial"/>
      <w:sz w:val="24"/>
    </w:rPr>
  </w:style>
  <w:style w:customStyle="1" w:styleId="Compact" w:type="paragraph">
    <w:name w:val="Compact"/>
    <w:basedOn w:val="BodyText"/>
    <w:qFormat/>
    <w:pPr>
      <w:spacing w:after="36" w:before="36" w:line="360" w:lineRule="auto"/>
    </w:pPr>
    <w:rPr>
      <w:rFonts w:ascii="Arial" w:hAnsi="Arial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400" w:line="288" w:lineRule="auto"/>
      <w:outlineLvl w:val="0"/>
    </w:pPr>
    <w:rPr>
      <w:rFonts w:asciiTheme="majorHAnsi" w:cstheme="majorBidi" w:eastAsiaTheme="majorEastAsia" w:hAnsiTheme="majorHAnsi" w:ascii="Arial" w:hAnsi="Arial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1"/>
    </w:pPr>
    <w:rPr>
      <w:rFonts w:asciiTheme="majorHAnsi" w:cstheme="majorBidi" w:eastAsiaTheme="majorEastAsia" w:hAnsiTheme="majorHAnsi" w:ascii="Arial" w:hAnsi="Arial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2"/>
    </w:pPr>
    <w:rPr>
      <w:rFonts w:cstheme="majorBidi" w:eastAsiaTheme="majorEastAsia" w:ascii="Arial" w:hAnsi="Arial"/>
      <w:b/>
      <w:i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" Type="http://schemas.openxmlformats.org/officeDocument/2006/relationships/image" Target="media/rId13.svg"/><Relationship Id="rId36" Type="http://schemas.openxmlformats.org/officeDocument/2006/relationships/hyperlink" Target="https://doi.org/10.4995/redu.2017.6053" TargetMode="Externa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https://doi.org/10.4995/redu.2017.60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2026-09-16T15:49:31Z</dcterms:created>
  <dcterms:modified xsi:type="dcterms:W3CDTF">2026-09-16T15:49:31Z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referencias.bib</vt:lpwstr>
  </property>
  <property fmtid="{D5CDD505-2E9C-101B-9397-08002B2CF9AE}" pid="4" name="csl">
    <vt:lpwstr>apa.csl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Tabla de contenidos</vt:lpwstr>
  </property>
</Properties>
</file>