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10</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12</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12</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12</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13</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14</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15</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16</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18</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18</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18</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20</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21</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22</w:t>
      </w:r>
    </w:p>
    <w:p>
      <w:pPr>
        <w:pStyle w:val="TOC1"/>
        <w:tabs>
          <w:tab w:val="right" w:leader="dot" w:pos="9026"/>
        </w:tabs>
        <w:ind w:left="0"/>
        <w:spacing w:after="60"/>
      </w:pPr>
      <w:r>
        <w:rPr>
          <w:rFonts w:ascii="Arial" w:hAnsi="Arial"/>
          <w:sz w:val="22"/>
        </w:rPr>
        <w:t>Referencias Bibliográficas</w:t>
      </w:r>
      <w:r>
        <w:tab/>
      </w:r>
      <w:r>
        <w:rPr>
          <w:rFonts w:ascii="Arial" w:hAnsi="Arial"/>
          <w:sz w:val="22"/>
        </w:rPr>
        <w:t>23</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Multinivel y Diálogo Institucional:</w:t>
      </w:r>
      <w:r>
        <w:t xml:space="preserve"> </w:t>
      </w:r>
      <w:r>
        <w:t xml:space="preserve">Posibilidad de construir acuerdos en el seno de la poligobernanza universitaria (macro, meso, micro territorial y sociolaboral) con las representaciones docentes y los órganos colegiados de cogobierno, garantizando que el modelo preserve su finalidad de desarrollo formativo y perfeccionamiento pedagógico continuo</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—con especial atención a la fragilidad percibida de la confidencialidad en cátedras unipersonales o con equipos reducidos—, temores expresados frente a la coevaluación entre pares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riesgo de fatiga evaluativa derivada de la sobrecarga de instrumentos en asignaturas compartidas, extensión y periodicidad óptima de los cuestionarios,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Multinivel y Diálogo Institucional:</w:t>
      </w:r>
      <w:r>
        <w:t xml:space="preserve"> </w:t>
      </w:r>
      <w:r>
        <w:t xml:space="preserve">Se explorará mediante entrevistas a autoridades departamentales, referentes de cogobierno y representaciones gremiales docentes. Los indicadores incluyen: consensos sobre el uso formativo de la información en el marco de la poligobernanza institucional, mecanismos de consulta previa y la articulación vinculante de los resultados diagnósticos con el Programa Anual de Formación de Recursos Humanos del Departamento (Art. 76 del Estatuto UNCo), garantizando una devolución inmediata y constructiva a la comunidad académica.</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actores institucionales involucrados (docentes y estudiantes) expresan apertura y predisposición hacia el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reparos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profunda entre los distintos actores de la comunidad académica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8"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2"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3"/>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41"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una</w:t>
      </w:r>
      <w:r>
        <w:t xml:space="preserve"> </w:t>
      </w:r>
      <w:r>
        <w:rPr>
          <w:b/>
          <w:bCs/>
        </w:rPr>
        <w:t xml:space="preserve">gobernanza multinivel o poligobernanza institucional</w:t>
      </w:r>
      <w:r>
        <w:t xml:space="preserve"> </w:t>
      </w:r>
      <w:r>
        <w:t xml:space="preserve">en el marco de la Administración Pública argentina</w:t>
      </w:r>
      <w:r>
        <w:t xml:space="preserve"> </w:t>
      </w:r>
      <w:r>
        <w:t xml:space="preserve">(Matus, 1993; Oszlak, 2020)</w:t>
      </w:r>
      <w:r>
        <w:t xml:space="preserve">. Esta perspectiva analítica —que articula los aportes sobre la gestión pública estratégica y las arenas de decisión compartida con el marco de</w:t>
      </w:r>
      <w:r>
        <w:t xml:space="preserve"> </w:t>
      </w:r>
      <w:r>
        <w:t xml:space="preserve">Longo (2006)</w:t>
      </w:r>
      <w:r>
        <w:t xml:space="preserve">— permite conceptualizar la organización universitaria no como una estructura piramidal unívoca, sino como un entramado complejo de relaciones institucionales y multiactorales.</w:t>
      </w:r>
    </w:p>
    <w:p>
      <w:pPr>
        <w:pStyle w:val="BodyText"/>
      </w:pPr>
      <w:r>
        <w:t xml:space="preserve">Lejos de operar como una categoría abstracta o decorativa, el concepto de</w:t>
      </w:r>
      <w:r>
        <w:t xml:space="preserve"> </w:t>
      </w:r>
      <w:r>
        <w:rPr>
          <w:b/>
          <w:bCs/>
        </w:rPr>
        <w:t xml:space="preserve">poligobernanza</w:t>
      </w:r>
      <w:r>
        <w:t xml:space="preserve"> </w:t>
      </w:r>
      <w:r>
        <w:t xml:space="preserve">describe en esta investigación la coexistencia articulada y tensionada de múltiples centros de decisión, competencias y fuentes de legitimidad institucional que conviven en el CURZAS-UNCo:</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t xml:space="preserve">Siguiendo a Carlos</w:t>
      </w:r>
      <w:r>
        <w:t xml:space="preserve"> </w:t>
      </w:r>
      <w:r>
        <w:t xml:space="preserve">Matus (1993)</w:t>
      </w:r>
      <w:r>
        <w:t xml:space="preserve">, la gestión en este entramado de poligobernanza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el CURZAS, esta trama institucional se sustenta en tres pilares fundamentales:</w:t>
      </w:r>
    </w:p>
    <w:p>
      <w:pPr>
        <w:pStyle w:val="Compact"/>
        <w:numPr>
          <w:ilvl w:val="0"/>
          <w:numId w:val="1015"/>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5"/>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5"/>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bookmarkStart w:id="39"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6"/>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6"/>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7"/>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7"/>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7"/>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7"/>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39"/>
    <w:bookmarkStart w:id="40"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p>
    <w:bookmarkEnd w:id="40"/>
    <w:bookmarkEnd w:id="41"/>
    <w:bookmarkEnd w:id="42"/>
    <w:bookmarkStart w:id="47"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3"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8"/>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8"/>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8"/>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18"/>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43"/>
    <w:bookmarkStart w:id="44"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9"/>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9"/>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4"/>
    <w:bookmarkStart w:id="45"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0"/>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1"/>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1"/>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0"/>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0"/>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5"/>
    <w:bookmarkStart w:id="46"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46"/>
    <w:bookmarkEnd w:id="47"/>
    <w:bookmarkEnd w:id="48"/>
    <w:bookmarkStart w:id="81" w:name="referencias-bibliográficas"/>
    <w:p>
      <w:pPr>
        <w:pStyle w:val="Heading1"/>
        <w:keepNext/>
        <w:spacing w:before="240" w:after="120" w:line="300" w:lineRule="auto"/>
        <w:jc w:val="center"/>
      </w:pPr>
      <w:r>
        <w:rPr>
          <w:rFonts w:ascii="Arial" w:hAnsi="Arial"/>
          <w:b/>
          <w:sz w:val="28"/>
        </w:rPr>
        <w:t xml:space="preserve">Referencias Bibliográficas</w:t>
      </w:r>
    </w:p>
    <w:bookmarkStart w:id="80" w:name="refs"/>
    <w:bookmarkStart w:id="5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49">
        <w:r>
          <w:rPr>
            <w:rStyle w:val="Hyperlink"/>
          </w:rPr>
          <w:t xml:space="preserve">https://ru.dgb.unam.mx/handle/123456789/4144</w:t>
        </w:r>
      </w:hyperlink>
    </w:p>
    <w:bookmarkEnd w:id="50"/>
    <w:bookmarkStart w:id="51"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51"/>
    <w:bookmarkStart w:id="53"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52">
        <w:r>
          <w:rPr>
            <w:rStyle w:val="Hyperlink"/>
          </w:rPr>
          <w:t xml:space="preserve">https://web.curza.uncoma.edu.ar/educacion-distancia/nodos-curza-unco-region-sur</w:t>
        </w:r>
      </w:hyperlink>
    </w:p>
    <w:bookmarkEnd w:id="53"/>
    <w:bookmarkStart w:id="54"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4"/>
    <w:bookmarkStart w:id="56"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5">
        <w:r>
          <w:rPr>
            <w:rStyle w:val="Hyperlink"/>
          </w:rPr>
          <w:t xml:space="preserve">https://doi.org/10.2307/3541464</w:t>
        </w:r>
      </w:hyperlink>
    </w:p>
    <w:bookmarkEnd w:id="56"/>
    <w:bookmarkStart w:id="57" w:name="ref-pen2015"/>
    <w:p>
      <w:pPr>
        <w:pStyle w:val="Bibliography"/>
        <w:spacing w:after="120"/>
        <w:ind w:left="720" w:hanging="720"/>
        <w:jc w:val="left"/>
      </w:pPr>
      <w:r>
        <w:t xml:space="preserve">Decreto N° 1246/2015. Convenio Colectivo de Trabajo para los Docentes de las Instituciones Universitarias Nacionales (2015).</w:t>
      </w:r>
    </w:p>
    <w:bookmarkEnd w:id="57"/>
    <w:bookmarkStart w:id="58"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8"/>
    <w:bookmarkStart w:id="59"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9"/>
    <w:bookmarkStart w:id="60" w:name="ref-ministerio1995"/>
    <w:p>
      <w:pPr>
        <w:pStyle w:val="Bibliography"/>
        <w:spacing w:after="120"/>
        <w:ind w:left="720" w:hanging="720"/>
        <w:jc w:val="left"/>
      </w:pPr>
      <w:r>
        <w:t xml:space="preserve">Ley N° 24.521 de Educación Superior (1995).</w:t>
      </w:r>
    </w:p>
    <w:bookmarkEnd w:id="60"/>
    <w:bookmarkStart w:id="61"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61"/>
    <w:bookmarkStart w:id="62"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62"/>
    <w:bookmarkStart w:id="63"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63"/>
    <w:bookmarkStart w:id="65"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64">
        <w:r>
          <w:rPr>
            <w:rStyle w:val="Hyperlink"/>
          </w:rPr>
          <w:t xml:space="preserve">https://medisur.sld.cu/index.php/medisur/article/view/2749</w:t>
        </w:r>
      </w:hyperlink>
    </w:p>
    <w:bookmarkEnd w:id="65"/>
    <w:bookmarkStart w:id="66"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6"/>
    <w:bookmarkStart w:id="67"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67"/>
    <w:bookmarkStart w:id="69"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68">
        <w:r>
          <w:rPr>
            <w:rStyle w:val="Hyperlink"/>
          </w:rPr>
          <w:t xml:space="preserve">https://doi.org/10.14507/epaa.28.5142</w:t>
        </w:r>
      </w:hyperlink>
    </w:p>
    <w:bookmarkEnd w:id="69"/>
    <w:bookmarkStart w:id="70"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70"/>
    <w:bookmarkStart w:id="72"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71">
        <w:r>
          <w:rPr>
            <w:rStyle w:val="Hyperlink"/>
          </w:rPr>
          <w:t xml:space="preserve">https://dialnet.unirioja.es/servlet/articulo?codigo=7242790</w:t>
        </w:r>
      </w:hyperlink>
    </w:p>
    <w:bookmarkEnd w:id="72"/>
    <w:bookmarkStart w:id="74"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73">
        <w:r>
          <w:rPr>
            <w:rStyle w:val="Hyperlink"/>
          </w:rPr>
          <w:t xml:space="preserve">https://doi.org/10.1177/1534484316671606</w:t>
        </w:r>
      </w:hyperlink>
    </w:p>
    <w:bookmarkEnd w:id="74"/>
    <w:bookmarkStart w:id="76"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75">
        <w:r>
          <w:rPr>
            <w:rStyle w:val="Hyperlink"/>
          </w:rPr>
          <w:t xml:space="preserve">https://fatu-uncoma.com.ar/fatu/wp-content/uploads/2024/03/0910-1997-Reglamento-de-carrera-docente.pdf</w:t>
        </w:r>
      </w:hyperlink>
    </w:p>
    <w:bookmarkEnd w:id="76"/>
    <w:bookmarkStart w:id="78"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77">
        <w:r>
          <w:rPr>
            <w:rStyle w:val="Hyperlink"/>
          </w:rPr>
          <w:t xml:space="preserve">https://academica.uncoma.edu.ar/wp-content/uploads/2025/08/ord_988_2025_55.pdf</w:t>
        </w:r>
      </w:hyperlink>
    </w:p>
    <w:bookmarkEnd w:id="78"/>
    <w:bookmarkStart w:id="7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9"/>
    <w:bookmarkEnd w:id="80"/>
    <w:bookmarkEnd w:id="8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77" Type="http://schemas.openxmlformats.org/officeDocument/2006/relationships/hyperlink" Target="https://academica.uncoma.edu.ar/wp-content/uploads/2025/08/ord_988_2025_55.pdf" TargetMode="External"/><Relationship Id="rId71" Type="http://schemas.openxmlformats.org/officeDocument/2006/relationships/hyperlink" Target="https://dialnet.unirioja.es/servlet/articulo?codigo=7242790" TargetMode="External"/><Relationship Id="rId73" Type="http://schemas.openxmlformats.org/officeDocument/2006/relationships/hyperlink" Target="https://doi.org/10.1177/1534484316671606" TargetMode="External"/><Relationship Id="rId68" Type="http://schemas.openxmlformats.org/officeDocument/2006/relationships/hyperlink" Target="https://doi.org/10.14507/epaa.28.5142" TargetMode="External"/><Relationship Id="rId55" Type="http://schemas.openxmlformats.org/officeDocument/2006/relationships/hyperlink" Target="https://doi.org/10.2307/3541464" TargetMode="External"/><Relationship Id="rId75" Type="http://schemas.openxmlformats.org/officeDocument/2006/relationships/hyperlink" Target="https://fatu-uncoma.com.ar/fatu/wp-content/uploads/2024/03/0910-1997-Reglamento-de-carrera-docente.pdf" TargetMode="External"/><Relationship Id="rId64" Type="http://schemas.openxmlformats.org/officeDocument/2006/relationships/hyperlink" Target="https://medisur.sld.cu/index.php/medisur/article/view/2749" TargetMode="External"/><Relationship Id="rId49" Type="http://schemas.openxmlformats.org/officeDocument/2006/relationships/hyperlink" Target="https://ru.dgb.unam.mx/handle/123456789/4144" TargetMode="External"/><Relationship Id="rId52"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77" Type="http://schemas.openxmlformats.org/officeDocument/2006/relationships/hyperlink" Target="https://academica.uncoma.edu.ar/wp-content/uploads/2025/08/ord_988_2025_55.pdf" TargetMode="External"/><Relationship Id="rId71" Type="http://schemas.openxmlformats.org/officeDocument/2006/relationships/hyperlink" Target="https://dialnet.unirioja.es/servlet/articulo?codigo=7242790" TargetMode="External"/><Relationship Id="rId73" Type="http://schemas.openxmlformats.org/officeDocument/2006/relationships/hyperlink" Target="https://doi.org/10.1177/1534484316671606" TargetMode="External"/><Relationship Id="rId68" Type="http://schemas.openxmlformats.org/officeDocument/2006/relationships/hyperlink" Target="https://doi.org/10.14507/epaa.28.5142" TargetMode="External"/><Relationship Id="rId55" Type="http://schemas.openxmlformats.org/officeDocument/2006/relationships/hyperlink" Target="https://doi.org/10.2307/3541464" TargetMode="External"/><Relationship Id="rId75" Type="http://schemas.openxmlformats.org/officeDocument/2006/relationships/hyperlink" Target="https://fatu-uncoma.com.ar/fatu/wp-content/uploads/2024/03/0910-1997-Reglamento-de-carrera-docente.pdf" TargetMode="External"/><Relationship Id="rId64" Type="http://schemas.openxmlformats.org/officeDocument/2006/relationships/hyperlink" Target="https://medisur.sld.cu/index.php/medisur/article/view/2749" TargetMode="External"/><Relationship Id="rId49" Type="http://schemas.openxmlformats.org/officeDocument/2006/relationships/hyperlink" Target="https://ru.dgb.unam.mx/handle/123456789/4144" TargetMode="External"/><Relationship Id="rId52"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2026-09-30T22:48:04Z</dcterms:created>
  <dcterms:modified xsi:type="dcterms:W3CDTF">2026-09-30T22:48:04Z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