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7</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7</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7</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8</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8</w:t>
      </w:r>
    </w:p>
    <w:p>
      <w:pPr>
        <w:pStyle w:val="TOC3"/>
        <w:tabs>
          <w:tab w:val="right" w:leader="dot" w:pos="9026"/>
        </w:tabs>
        <w:ind w:left="560"/>
        <w:spacing w:after="60"/>
      </w:pPr>
      <w:r>
        <w:rPr>
          <w:rFonts w:ascii="Arial" w:hAnsi="Arial"/>
          <w:sz w:val="22"/>
        </w:rPr>
        <w:t>Objetivo General</w:t>
      </w:r>
      <w:r>
        <w:tab/>
      </w:r>
      <w:r>
        <w:rPr>
          <w:rFonts w:ascii="Arial" w:hAnsi="Arial"/>
          <w:sz w:val="22"/>
        </w:rPr>
        <w:t>8</w:t>
      </w:r>
    </w:p>
    <w:p>
      <w:pPr>
        <w:pStyle w:val="TOC3"/>
        <w:tabs>
          <w:tab w:val="right" w:leader="dot" w:pos="9026"/>
        </w:tabs>
        <w:ind w:left="560"/>
        <w:spacing w:after="60"/>
      </w:pPr>
      <w:r>
        <w:rPr>
          <w:rFonts w:ascii="Arial" w:hAnsi="Arial"/>
          <w:sz w:val="22"/>
        </w:rPr>
        <w:t>Objetivos Específicos</w:t>
      </w:r>
      <w:r>
        <w:tab/>
      </w:r>
      <w:r>
        <w:rPr>
          <w:rFonts w:ascii="Arial" w:hAnsi="Arial"/>
          <w:sz w:val="22"/>
        </w:rPr>
        <w:t>9</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11</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11</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11</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12</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13</w:t>
      </w:r>
    </w:p>
    <w:p>
      <w:pPr>
        <w:pStyle w:val="TOC3"/>
        <w:tabs>
          <w:tab w:val="right" w:leader="dot" w:pos="9026"/>
        </w:tabs>
        <w:ind w:left="560"/>
        <w:spacing w:after="60"/>
      </w:pPr>
      <w:r>
        <w:rPr>
          <w:rFonts w:ascii="Arial" w:hAnsi="Arial"/>
          <w:sz w:val="22"/>
        </w:rPr>
        <w:t>Gobernanza Universitaria Multinivel, Cogobierno y Negociación Paritaria Docente</w:t>
      </w:r>
      <w:r>
        <w:tab/>
      </w:r>
      <w:r>
        <w:rPr>
          <w:rFonts w:ascii="Arial" w:hAnsi="Arial"/>
          <w:sz w:val="22"/>
        </w:rPr>
        <w:t>14</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15</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17</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17</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17</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19</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19</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21</w:t>
      </w:r>
    </w:p>
    <w:p>
      <w:pPr>
        <w:pStyle w:val="TOC1"/>
        <w:tabs>
          <w:tab w:val="right" w:leader="dot" w:pos="9026"/>
        </w:tabs>
        <w:ind w:left="0"/>
        <w:spacing w:after="60"/>
      </w:pPr>
      <w:r>
        <w:rPr>
          <w:rFonts w:ascii="Arial" w:hAnsi="Arial"/>
          <w:sz w:val="22"/>
        </w:rPr>
        <w:t>Referencias Bibliográficas</w:t>
      </w:r>
      <w:r>
        <w:tab/>
      </w:r>
      <w:r>
        <w:rPr>
          <w:rFonts w:ascii="Arial" w:hAnsi="Arial"/>
          <w:sz w:val="22"/>
        </w:rPr>
        <w:t>22</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w:t>
      </w:r>
      <w:r>
        <w:t xml:space="preserve"> </w:t>
      </w:r>
      <w:r>
        <w:rPr>
          <w:i/>
          <w:iCs/>
        </w:rPr>
        <w:t xml:space="preserve">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0"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 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0"/>
    <w:bookmarkStart w:id="24"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1"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CS N° 0910/1997 y modificatorias,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de Gobernanza Multinivel y Diálogo Institucional:</w:t>
      </w:r>
      <w:r>
        <w:t xml:space="preserve"> </w:t>
      </w:r>
      <w:r>
        <w:t xml:space="preserve">Posibilidad de construir acuerdos en el seno de la poligobernanza universitaria (macro, meso, micro territorial y sociolaboral) con las representaciones docentes y los órganos colegiados de cogobierno, garantizando que el modelo preserve su finalidad de desarrollo formativo y perfeccionamiento pedagógico continuo</w:t>
      </w:r>
      <w:r>
        <w:t xml:space="preserve"> </w:t>
      </w:r>
      <w:r>
        <w:t xml:space="preserve">(Matus, 1993)</w:t>
      </w:r>
      <w:r>
        <w:t xml:space="preserve">.</w:t>
      </w:r>
    </w:p>
    <w:bookmarkEnd w:id="21"/>
    <w:bookmarkStart w:id="22" w:name="X5965ca74dc7a4b9398fc285497af16a05ed033f"/>
    <w:p>
      <w:pPr>
        <w:pStyle w:val="Heading4"/>
      </w:pPr>
      <w:r>
        <w:t xml:space="preserve">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temores expresados frente a la coevaluación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carga operativa requerida para responder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Multinivel y Diálogo Institucional:</w:t>
      </w:r>
      <w:r>
        <w:t xml:space="preserve"> </w:t>
      </w:r>
      <w:r>
        <w:t xml:space="preserve">Se explorará mediante entrevistas a autoridades departamentales, referentes de cogobierno y representaciones gremiales docentes. Los indicadores incluyen: consensos sobre el uso formativo de la información en el marco de la poligobernanza institucional, mecanismos de consulta previa y articulación de los hallazgos con los programas de capacitación docente del Departamento.</w:t>
      </w:r>
    </w:p>
    <w:bookmarkEnd w:id="22"/>
    <w:bookmarkStart w:id="23"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actores institucionales involucrados (docentes y estudiantes) expresan apertura y predisposición hacia el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reparos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profunda entre los distintos actores de la comunidad académica o incompatibilidades normativas rígidas que desaconsejan una aplicación generalizada a corto plazo, sugiriendo la necesidad previa de fortalecer la cultura evaluativa institucional.</w:t>
      </w:r>
    </w:p>
    <w:bookmarkEnd w:id="23"/>
    <w:bookmarkEnd w:id="24"/>
    <w:bookmarkStart w:id="25"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5"/>
    <w:bookmarkEnd w:id="26"/>
    <w:bookmarkStart w:id="30"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27"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7"/>
    <w:bookmarkStart w:id="28"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6"/>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8"/>
    <w:bookmarkStart w:id="29"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2"/>
        <w:keepNext/>
        <w:spacing w:before="200" w:after="80" w:line="300" w:lineRule="auto"/>
      </w:pPr>
      <w:r>
        <w:rPr>
          <w:rFonts w:ascii="Arial" w:hAnsi="Arial"/>
          <w:b/>
          <w:sz w:val="24"/>
        </w:rPr>
        <w:t xml:space="preserve">Definición de Objetivos del TFG</w:t>
      </w:r>
    </w:p>
    <w:bookmarkStart w:id="31"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7"/>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multinivel (acuerdos paritarios, normativa vigente de carrera docente y evaluación, confidencialidad y cogobierno) que inciden en la factibilidad del modelo en el marco de la poligobernanza institucional.</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p>
      <w:r>
        <w:br w:type="page"/>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270"/>
        <w:gridCol w:w="2615"/>
        <w:gridCol w:w="2017"/>
        <w:gridCol w:w="2017"/>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multinivel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 multinivel:</w:t>
            </w:r>
            <w:r>
              <w:t xml:space="preserve"> </w:t>
            </w:r>
            <w:r>
              <w:t xml:space="preserve">Identificación de condicionantes de cogobierno, paritarios y normativos de la poligobernanza institucional</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End w:id="35"/>
    <w:bookmarkStart w:id="48"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2"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6"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10"/>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10"/>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10"/>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6"/>
    <w:bookmarkStart w:id="37"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1"/>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1"/>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1"/>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1"/>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37"/>
    <w:bookmarkStart w:id="38"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2"/>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2"/>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3"/>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3"/>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3"/>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3"/>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38"/>
    <w:bookmarkStart w:id="41" w:name="X3c26948e283d8e10bd039db6e5542a6686a8cc2"/>
    <w:p>
      <w:pPr>
        <w:pStyle w:val="Heading3"/>
        <w:keepNext/>
        <w:spacing w:before="160" w:after="40" w:line="300" w:lineRule="auto"/>
      </w:pPr>
      <w:r>
        <w:rPr>
          <w:rFonts w:ascii="Arial" w:hAnsi="Arial"/>
          <w:b/>
          <w:i/>
          <w:sz w:val="24"/>
        </w:rPr>
        <w:t xml:space="preserve">Gobernanza Universitaria Multinivel,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y, específicamente, la configuración de una</w:t>
      </w:r>
      <w:r>
        <w:t xml:space="preserve"> </w:t>
      </w:r>
      <w:r>
        <w:rPr>
          <w:b/>
          <w:bCs/>
        </w:rPr>
        <w:t xml:space="preserve">gobernanza multinivel o poligobernanza institucional</w:t>
      </w:r>
      <w:r>
        <w:t xml:space="preserve"> </w:t>
      </w:r>
      <w:r>
        <w:t xml:space="preserve">en el marco de la Administración Pública argentina</w:t>
      </w:r>
      <w:r>
        <w:t xml:space="preserve"> </w:t>
      </w:r>
      <w:r>
        <w:t xml:space="preserve">(Matus, 1993; Oszlak, 2020)</w:t>
      </w:r>
      <w:r>
        <w:t xml:space="preserve">. Esta perspectiva analítica —que articula los aportes sobre la gestión pública estratégica y las arenas de decisión compartida con el marco de</w:t>
      </w:r>
      <w:r>
        <w:t xml:space="preserve"> </w:t>
      </w:r>
      <w:r>
        <w:t xml:space="preserve">Longo (2006)</w:t>
      </w:r>
      <w:r>
        <w:t xml:space="preserve">— permite conceptualizar la organización universitaria no como una estructura piramidal unívoca, sino como un entramado complejo de relaciones institucionales y multiactorales.</w:t>
      </w:r>
    </w:p>
    <w:p>
      <w:pPr>
        <w:pStyle w:val="BodyText"/>
      </w:pPr>
      <w:r>
        <w:t xml:space="preserve">Lejos de operar como una categoría abstracta o decorativa, el concepto de</w:t>
      </w:r>
      <w:r>
        <w:t xml:space="preserve"> </w:t>
      </w:r>
      <w:r>
        <w:rPr>
          <w:b/>
          <w:bCs/>
        </w:rPr>
        <w:t xml:space="preserve">poligobernanza</w:t>
      </w:r>
      <w:r>
        <w:t xml:space="preserve"> </w:t>
      </w:r>
      <w:r>
        <w:t xml:space="preserve">describe en esta investigación la coexistencia articulada y tensionada de múltiples centros de decisión, competencias y fuentes de legitimidad institucional que conviven en el CURZAS-UNCo:</w:t>
      </w:r>
    </w:p>
    <w:p>
      <w:pPr>
        <w:pStyle w:val="Compact"/>
        <w:numPr>
          <w:ilvl w:val="0"/>
          <w:numId w:val="1014"/>
        </w:numPr>
      </w:pPr>
      <w:r>
        <w:rPr>
          <w:i/>
          <w:iCs/>
        </w:rPr>
        <w:t xml:space="preserve">Nivel Macro o Central (Neuquén):</w:t>
      </w:r>
      <w:r>
        <w:t xml:space="preserve"> </w:t>
      </w:r>
      <w:r>
        <w:t xml:space="preserve">El Rectorado y el Consejo Superior de la UNCo, donde se definen las políticas presupuestarias, las normas estatutarias y los marcos de Carrera Docente (Ordenanza CS N° 0988/2025 y Ord. CS N° 0910/1997).</w:t>
      </w:r>
    </w:p>
    <w:p>
      <w:pPr>
        <w:pStyle w:val="Compact"/>
        <w:numPr>
          <w:ilvl w:val="0"/>
          <w:numId w:val="1014"/>
        </w:numPr>
      </w:pPr>
      <w:r>
        <w:rPr>
          <w:i/>
          <w:iCs/>
        </w:rPr>
        <w:t xml:space="preserve">Nivel Meso o Regional Descentralizado (Viedma):</w:t>
      </w:r>
      <w:r>
        <w:t xml:space="preserve"> </w:t>
      </w:r>
      <w:r>
        <w:t xml:space="preserve">El Consejo Directivo del CURZAS y la Dirección del Departamento de Administración Pública, encargados de la gestión operativa, la planificación de cátedras y los planes anuales de formación docente.</w:t>
      </w:r>
    </w:p>
    <w:p>
      <w:pPr>
        <w:pStyle w:val="Compact"/>
        <w:numPr>
          <w:ilvl w:val="0"/>
          <w:numId w:val="1014"/>
        </w:numPr>
      </w:pPr>
      <w:r>
        <w:rPr>
          <w:i/>
          <w:iCs/>
        </w:rPr>
        <w:t xml:space="preserve">Nivel Micro o Territorial (Red de Nodos Universitarios):</w:t>
      </w:r>
      <w:r>
        <w:t xml:space="preserve"> </w:t>
      </w:r>
      <w:r>
        <w:t xml:space="preserve">Localidades de la Línea Sur y la Costa Atlántica rionegrina (Sierra Grande, Valcheta, Los Menucos y Ramos Mexía), donde las modalidades híbridas imponen nuevas mediaciones pedagógicas y requerimientos tutoriales sincrónicos y asincrónicos.</w:t>
      </w:r>
    </w:p>
    <w:p>
      <w:pPr>
        <w:pStyle w:val="Compact"/>
        <w:numPr>
          <w:ilvl w:val="0"/>
          <w:numId w:val="1014"/>
        </w:numPr>
      </w:pPr>
      <w:r>
        <w:rPr>
          <w:i/>
          <w:iCs/>
        </w:rPr>
        <w:t xml:space="preserve">Nivel Sociolaboral y Paritario:</w:t>
      </w:r>
      <w:r>
        <w:t xml:space="preserve"> </w:t>
      </w:r>
      <w:r>
        <w:t xml:space="preserve">La representación gremial docente, que resguarda las condiciones laborales, la estabilidad y la no punitividad en el marco del Convenio Colectivo de Trabajo (Decreto PEN N° 1246/2015).</w:t>
      </w:r>
    </w:p>
    <w:p>
      <w:pPr>
        <w:pStyle w:val="FirstParagraph"/>
      </w:pPr>
      <w:r>
        <w:t xml:space="preserve">Siguiendo a Carlos</w:t>
      </w:r>
      <w:r>
        <w:t xml:space="preserve"> </w:t>
      </w:r>
      <w:r>
        <w:t xml:space="preserve">Matus (1993)</w:t>
      </w:r>
      <w:r>
        <w:t xml:space="preserve">, la gestión en este entramado de poligobernanza se desenvuelve en escenarios de poder compartido y conflicto legítimo de intereses. Las decisiones no se imponen jerárquicamente por decreto; requieren construir consensos sobre</w:t>
      </w:r>
      <w:r>
        <w:t xml:space="preserve"> </w:t>
      </w:r>
      <w:r>
        <w:rPr>
          <w:i/>
          <w:iCs/>
        </w:rPr>
        <w:t xml:space="preserve">variables de control compartido</w:t>
      </w:r>
      <w:r>
        <w:t xml:space="preserve">. En el CURZAS, esta trama institucional se sustenta en tres pilares fundamentales:</w:t>
      </w:r>
    </w:p>
    <w:p>
      <w:pPr>
        <w:pStyle w:val="Compact"/>
        <w:numPr>
          <w:ilvl w:val="0"/>
          <w:numId w:val="1015"/>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5"/>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5"/>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p>
    <w:bookmarkStart w:id="39"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6"/>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6"/>
        </w:numPr>
      </w:pPr>
      <w:r>
        <w:rPr>
          <w:b/>
          <w:bCs/>
        </w:rPr>
        <w:t xml:space="preserve">Categoría analítica de la investigación (</w:t>
      </w:r>
      <w:r>
        <w:rPr>
          <w:b/>
          <w:bCs/>
          <w:i/>
          <w:iCs/>
        </w:rPr>
        <w:t xml:space="preserve">actores y sujetos institucionales</w:t>
      </w:r>
      <w:r>
        <w:rPr>
          <w:b/>
          <w:bCs/>
        </w:rPr>
        <w:t xml:space="preserve">):</w:t>
      </w:r>
      <w:r>
        <w:t xml:space="preserve"> </w:t>
      </w:r>
      <w:r>
        <w:t xml:space="preserve">Comprende a los</w:t>
      </w:r>
      <w:r>
        <w:t xml:space="preserve"> </w:t>
      </w:r>
      <w:r>
        <w:rPr>
          <w:i/>
          <w:iCs/>
        </w:rPr>
        <w:t xml:space="preserve">actores institucionales</w:t>
      </w:r>
      <w:r>
        <w:t xml:space="preserve">,</w:t>
      </w:r>
      <w:r>
        <w:t xml:space="preserve"> </w:t>
      </w:r>
      <w:r>
        <w:rPr>
          <w:i/>
          <w:iCs/>
        </w:rPr>
        <w:t xml:space="preserve">colectivos universitarios</w:t>
      </w:r>
      <w:r>
        <w:t xml:space="preserve">,</w:t>
      </w:r>
      <w:r>
        <w:t xml:space="preserve"> </w:t>
      </w:r>
      <w:r>
        <w:rPr>
          <w:i/>
          <w:iCs/>
        </w:rPr>
        <w:t xml:space="preserve">participantes</w:t>
      </w:r>
      <w:r>
        <w:t xml:space="preserve">,</w:t>
      </w:r>
      <w:r>
        <w:t xml:space="preserve"> </w:t>
      </w:r>
      <w:r>
        <w:rPr>
          <w:i/>
          <w:iCs/>
        </w:rPr>
        <w:t xml:space="preserve">pares docentes</w:t>
      </w:r>
      <w:r>
        <w:t xml:space="preserve">,</w:t>
      </w:r>
      <w:r>
        <w:t xml:space="preserve"> </w:t>
      </w:r>
      <w:r>
        <w:rPr>
          <w:i/>
          <w:iCs/>
        </w:rPr>
        <w:t xml:space="preserve">estudiantes</w:t>
      </w:r>
      <w:r>
        <w:t xml:space="preserve">,</w:t>
      </w:r>
      <w:r>
        <w:t xml:space="preserve"> </w:t>
      </w:r>
      <w:r>
        <w:rPr>
          <w:i/>
          <w:iCs/>
        </w:rPr>
        <w:t xml:space="preserve">autoridades académicas</w:t>
      </w:r>
      <w:r>
        <w:t xml:space="preserve"> </w:t>
      </w:r>
      <w:r>
        <w:t xml:space="preserve">y</w:t>
      </w:r>
      <w:r>
        <w:t xml:space="preserve"> </w:t>
      </w:r>
      <w:r>
        <w:rPr>
          <w:i/>
          <w:iCs/>
        </w:rPr>
        <w:t xml:space="preserve">representantes gremiales</w:t>
      </w:r>
      <w:r>
        <w:t xml:space="preserve">. Esta categoría analítica permite captar las prácticas concretas, las representaciones subjetivas, el clima relacional, la confianza intersubjetiva y las disposiciones cotidianas frente al trabajo pedagógico.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7"/>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7"/>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7"/>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7"/>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39"/>
    <w:bookmarkStart w:id="40"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w:t>
      </w:r>
      <w:r>
        <w:t xml:space="preserve"> </w:t>
      </w:r>
      <w:r>
        <w:rPr>
          <w:b/>
          <w:bCs/>
        </w:rPr>
        <w:t xml:space="preserve">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r>
        <w:t xml:space="preserve">.</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técnicos, de sobrecarga operativa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w:t>
      </w:r>
    </w:p>
    <w:bookmarkEnd w:id="40"/>
    <w:bookmarkEnd w:id="41"/>
    <w:bookmarkEnd w:id="42"/>
    <w:bookmarkStart w:id="47"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3"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18"/>
        </w:numPr>
      </w:pPr>
      <w:r>
        <w:rPr>
          <w:b/>
          <w:bCs/>
        </w:rPr>
        <w:t xml:space="preserve">Sifuentes Ocegueda et al.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18"/>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18"/>
        </w:numPr>
      </w:pPr>
      <w:r>
        <w:rPr>
          <w:b/>
          <w:bCs/>
        </w:rPr>
        <w:t xml:space="preserve">Reyes &amp;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p>
      <w:pPr>
        <w:pStyle w:val="Compact"/>
        <w:numPr>
          <w:ilvl w:val="0"/>
          <w:numId w:val="1018"/>
        </w:numPr>
      </w:pPr>
      <w:r>
        <w:rPr>
          <w:b/>
          <w:bCs/>
        </w:rPr>
        <w:t xml:space="preserve">Alvarado &amp; Morales (2019)</w:t>
      </w:r>
      <w:r>
        <w:t xml:space="preserve">, en su propuesta de diseño institucional</w:t>
      </w:r>
      <w:r>
        <w:t xml:space="preserve"> </w:t>
      </w:r>
      <w:r>
        <w:rPr>
          <w:i/>
          <w:iCs/>
        </w:rPr>
        <w:t xml:space="preserve">“Propuesta de evaluación del desempeño docente utilizando la metodología de 360º en educación superior pública”</w:t>
      </w:r>
      <w:r>
        <w:t xml:space="preserve">, desarrollada en el marco de la Universidad Nacional Autónoma de México (UNAM), estructuraron una matriz de indicadores competenciales orientada a ponderar las funciones de docencia, tutoría y gestión institucional. Su estudio aporta criterios metodológicos e instrumentales específicos para operacionalizar cuestionarios de retroalimentación 360°, resguardando la pertinencia técnica del instrumento y su articulación con los planes de perfeccionamiento pedagógico continuo.</w:t>
      </w:r>
    </w:p>
    <w:bookmarkEnd w:id="43"/>
    <w:bookmarkStart w:id="44"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19"/>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19"/>
        </w:numPr>
      </w:pPr>
      <w:r>
        <w:rPr>
          <w:b/>
          <w:bCs/>
        </w:rPr>
        <w:t xml:space="preserve">Pérez et al.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4"/>
    <w:bookmarkStart w:id="45"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20"/>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1"/>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1"/>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20"/>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20"/>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45"/>
    <w:bookmarkStart w:id="46"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w:t>
      </w:r>
      <w:r>
        <w:t xml:space="preserve"> </w:t>
      </w:r>
      <w:r>
        <w:rPr>
          <w:b/>
          <w:bCs/>
        </w:rPr>
        <w:t xml:space="preserve">área de vacancia empírica</w:t>
      </w:r>
      <w:r>
        <w:t xml:space="preserve">: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46"/>
    <w:bookmarkEnd w:id="47"/>
    <w:bookmarkEnd w:id="48"/>
    <w:bookmarkStart w:id="81" w:name="referencias-bibliográficas"/>
    <w:p>
      <w:pPr>
        <w:pStyle w:val="Heading1"/>
        <w:keepNext/>
        <w:spacing w:before="240" w:after="120" w:line="300" w:lineRule="auto"/>
        <w:jc w:val="center"/>
      </w:pPr>
      <w:r>
        <w:rPr>
          <w:rFonts w:ascii="Arial" w:hAnsi="Arial"/>
          <w:b/>
          <w:sz w:val="28"/>
        </w:rPr>
        <w:t xml:space="preserve">Referencias Bibliográficas</w:t>
      </w:r>
    </w:p>
    <w:bookmarkStart w:id="80" w:name="refs"/>
    <w:bookmarkStart w:id="50"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49">
        <w:r>
          <w:rPr>
            <w:rStyle w:val="Hyperlink"/>
          </w:rPr>
          <w:t xml:space="preserve">https://ru.dgb.unam.mx/handle/123456789/4144</w:t>
        </w:r>
      </w:hyperlink>
    </w:p>
    <w:bookmarkEnd w:id="50"/>
    <w:bookmarkStart w:id="51"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51"/>
    <w:bookmarkStart w:id="53"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52">
        <w:r>
          <w:rPr>
            <w:rStyle w:val="Hyperlink"/>
          </w:rPr>
          <w:t xml:space="preserve">https://web.curza.uncoma.edu.ar/educacion-distancia/nodos-curza-unco-region-sur</w:t>
        </w:r>
      </w:hyperlink>
    </w:p>
    <w:bookmarkEnd w:id="53"/>
    <w:bookmarkStart w:id="54"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54"/>
    <w:bookmarkStart w:id="56"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55">
        <w:r>
          <w:rPr>
            <w:rStyle w:val="Hyperlink"/>
          </w:rPr>
          <w:t xml:space="preserve">https://doi.org/10.2307/3541464</w:t>
        </w:r>
      </w:hyperlink>
    </w:p>
    <w:bookmarkEnd w:id="56"/>
    <w:bookmarkStart w:id="57" w:name="ref-pen2015"/>
    <w:p>
      <w:pPr>
        <w:pStyle w:val="Bibliography"/>
        <w:spacing w:after="120"/>
        <w:ind w:left="720" w:hanging="720"/>
        <w:jc w:val="left"/>
      </w:pPr>
      <w:r>
        <w:t xml:space="preserve">Decreto N° 1246/2015. Convenio Colectivo de Trabajo para los Docentes de las Instituciones Universitarias Nacionales (2015).</w:t>
      </w:r>
    </w:p>
    <w:bookmarkEnd w:id="57"/>
    <w:bookmarkStart w:id="58"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58"/>
    <w:bookmarkStart w:id="59"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59"/>
    <w:bookmarkStart w:id="60" w:name="ref-ministerio1995"/>
    <w:p>
      <w:pPr>
        <w:pStyle w:val="Bibliography"/>
        <w:spacing w:after="120"/>
        <w:ind w:left="720" w:hanging="720"/>
        <w:jc w:val="left"/>
      </w:pPr>
      <w:r>
        <w:t xml:space="preserve">Ley N° 24.521 de Educación Superior (1995).</w:t>
      </w:r>
    </w:p>
    <w:bookmarkEnd w:id="60"/>
    <w:bookmarkStart w:id="61"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61"/>
    <w:bookmarkStart w:id="62"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62"/>
    <w:bookmarkStart w:id="63"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63"/>
    <w:bookmarkStart w:id="65"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64">
        <w:r>
          <w:rPr>
            <w:rStyle w:val="Hyperlink"/>
          </w:rPr>
          <w:t xml:space="preserve">https://medisur.sld.cu/index.php/medisur/article/view/2749</w:t>
        </w:r>
      </w:hyperlink>
    </w:p>
    <w:bookmarkEnd w:id="65"/>
    <w:bookmarkStart w:id="66"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66"/>
    <w:bookmarkStart w:id="67"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67"/>
    <w:bookmarkStart w:id="69"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68">
        <w:r>
          <w:rPr>
            <w:rStyle w:val="Hyperlink"/>
          </w:rPr>
          <w:t xml:space="preserve">https://doi.org/10.14507/epaa.28.5142</w:t>
        </w:r>
      </w:hyperlink>
    </w:p>
    <w:bookmarkEnd w:id="69"/>
    <w:bookmarkStart w:id="70"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70"/>
    <w:bookmarkStart w:id="72"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71">
        <w:r>
          <w:rPr>
            <w:rStyle w:val="Hyperlink"/>
          </w:rPr>
          <w:t xml:space="preserve">https://dialnet.unirioja.es/servlet/articulo?codigo=7242790</w:t>
        </w:r>
      </w:hyperlink>
    </w:p>
    <w:bookmarkEnd w:id="72"/>
    <w:bookmarkStart w:id="74"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73">
        <w:r>
          <w:rPr>
            <w:rStyle w:val="Hyperlink"/>
          </w:rPr>
          <w:t xml:space="preserve">https://doi.org/10.1177/1534484316671606</w:t>
        </w:r>
      </w:hyperlink>
    </w:p>
    <w:bookmarkEnd w:id="74"/>
    <w:bookmarkStart w:id="76"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75">
        <w:r>
          <w:rPr>
            <w:rStyle w:val="Hyperlink"/>
          </w:rPr>
          <w:t xml:space="preserve">https://fatu-uncoma.com.ar/fatu/wp-content/uploads/2024/03/0910-1997-Reglamento-de-carrera-docente.pdf</w:t>
        </w:r>
      </w:hyperlink>
    </w:p>
    <w:bookmarkEnd w:id="76"/>
    <w:bookmarkStart w:id="78"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77">
        <w:r>
          <w:rPr>
            <w:rStyle w:val="Hyperlink"/>
          </w:rPr>
          <w:t xml:space="preserve">https://academica.uncoma.edu.ar/wp-content/uploads/2025/08/ord_988_2025_55.pdf</w:t>
        </w:r>
      </w:hyperlink>
    </w:p>
    <w:bookmarkEnd w:id="78"/>
    <w:bookmarkStart w:id="7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79"/>
    <w:bookmarkEnd w:id="80"/>
    <w:bookmarkEnd w:id="81"/>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77" Type="http://schemas.openxmlformats.org/officeDocument/2006/relationships/hyperlink" Target="https://academica.uncoma.edu.ar/wp-content/uploads/2025/08/ord_988_2025_55.pdf" TargetMode="External"/><Relationship Id="rId71" Type="http://schemas.openxmlformats.org/officeDocument/2006/relationships/hyperlink" Target="https://dialnet.unirioja.es/servlet/articulo?codigo=7242790" TargetMode="External"/><Relationship Id="rId73" Type="http://schemas.openxmlformats.org/officeDocument/2006/relationships/hyperlink" Target="https://doi.org/10.1177/1534484316671606" TargetMode="External"/><Relationship Id="rId68" Type="http://schemas.openxmlformats.org/officeDocument/2006/relationships/hyperlink" Target="https://doi.org/10.14507/epaa.28.5142" TargetMode="External"/><Relationship Id="rId55" Type="http://schemas.openxmlformats.org/officeDocument/2006/relationships/hyperlink" Target="https://doi.org/10.2307/3541464" TargetMode="External"/><Relationship Id="rId75" Type="http://schemas.openxmlformats.org/officeDocument/2006/relationships/hyperlink" Target="https://fatu-uncoma.com.ar/fatu/wp-content/uploads/2024/03/0910-1997-Reglamento-de-carrera-docente.pdf" TargetMode="External"/><Relationship Id="rId64" Type="http://schemas.openxmlformats.org/officeDocument/2006/relationships/hyperlink" Target="https://medisur.sld.cu/index.php/medisur/article/view/2749" TargetMode="External"/><Relationship Id="rId49" Type="http://schemas.openxmlformats.org/officeDocument/2006/relationships/hyperlink" Target="https://ru.dgb.unam.mx/handle/123456789/4144" TargetMode="External"/><Relationship Id="rId52"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77" Type="http://schemas.openxmlformats.org/officeDocument/2006/relationships/hyperlink" Target="https://academica.uncoma.edu.ar/wp-content/uploads/2025/08/ord_988_2025_55.pdf" TargetMode="External"/><Relationship Id="rId71" Type="http://schemas.openxmlformats.org/officeDocument/2006/relationships/hyperlink" Target="https://dialnet.unirioja.es/servlet/articulo?codigo=7242790" TargetMode="External"/><Relationship Id="rId73" Type="http://schemas.openxmlformats.org/officeDocument/2006/relationships/hyperlink" Target="https://doi.org/10.1177/1534484316671606" TargetMode="External"/><Relationship Id="rId68" Type="http://schemas.openxmlformats.org/officeDocument/2006/relationships/hyperlink" Target="https://doi.org/10.14507/epaa.28.5142" TargetMode="External"/><Relationship Id="rId55" Type="http://schemas.openxmlformats.org/officeDocument/2006/relationships/hyperlink" Target="https://doi.org/10.2307/3541464" TargetMode="External"/><Relationship Id="rId75" Type="http://schemas.openxmlformats.org/officeDocument/2006/relationships/hyperlink" Target="https://fatu-uncoma.com.ar/fatu/wp-content/uploads/2024/03/0910-1997-Reglamento-de-carrera-docente.pdf" TargetMode="External"/><Relationship Id="rId64" Type="http://schemas.openxmlformats.org/officeDocument/2006/relationships/hyperlink" Target="https://medisur.sld.cu/index.php/medisur/article/view/2749" TargetMode="External"/><Relationship Id="rId49" Type="http://schemas.openxmlformats.org/officeDocument/2006/relationships/hyperlink" Target="https://ru.dgb.unam.mx/handle/123456789/4144" TargetMode="External"/><Relationship Id="rId52"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2026-09-30T22:31:35Z</dcterms:created>
  <dcterms:modified xsi:type="dcterms:W3CDTF">2026-09-30T22:31:35Z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