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pPr>
      <w: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3</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3</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4</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5</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6</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6</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6</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6</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7</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7</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7</w:t>
      </w:r>
    </w:p>
    <w:p>
      <w:pPr>
        <w:pStyle w:val="TOC1"/>
        <w:tabs>
          <w:tab w:val="right" w:leader="dot" w:pos="9026"/>
        </w:tabs>
        <w:ind w:left="0"/>
        <w:spacing w:after="60"/>
      </w:pPr>
      <w:r>
        <w:rPr>
          <w:rFonts w:ascii="Arial" w:hAnsi="Arial"/>
          <w:sz w:val="22"/>
        </w:rPr>
        <w:t>4.1 Objetivo General</w:t>
      </w:r>
      <w:r>
        <w:tab/>
      </w:r>
      <w:r>
        <w:rPr>
          <w:rFonts w:ascii="Arial" w:hAnsi="Arial"/>
          <w:sz w:val="22"/>
        </w:rPr>
        <w:t>8</w:t>
      </w:r>
    </w:p>
    <w:p>
      <w:pPr>
        <w:pStyle w:val="TOC1"/>
        <w:tabs>
          <w:tab w:val="right" w:leader="dot" w:pos="9026"/>
        </w:tabs>
        <w:ind w:left="0"/>
        <w:spacing w:after="60"/>
      </w:pPr>
      <w:r>
        <w:rPr>
          <w:rFonts w:ascii="Arial" w:hAnsi="Arial"/>
          <w:sz w:val="22"/>
        </w:rPr>
        <w:t>4.2 Objetivos Específicos</w:t>
      </w:r>
      <w:r>
        <w:tab/>
      </w:r>
      <w:r>
        <w:rPr>
          <w:rFonts w:ascii="Arial" w:hAnsi="Arial"/>
          <w:sz w:val="22"/>
        </w:rPr>
        <w:t>8</w:t>
      </w:r>
    </w:p>
    <w:p>
      <w:pPr>
        <w:pStyle w:val="TOC1"/>
        <w:tabs>
          <w:tab w:val="right" w:leader="dot" w:pos="9026"/>
        </w:tabs>
        <w:ind w:left="0"/>
        <w:spacing w:after="60"/>
      </w:pPr>
      <w:r>
        <w:rPr>
          <w:rFonts w:ascii="Arial" w:hAnsi="Arial"/>
          <w:sz w:val="22"/>
        </w:rPr>
        <w:t>4.3 Matriz de Consistencia Metodológica y Articulación con Longo (2006)</w:t>
      </w:r>
      <w:r>
        <w:tab/>
      </w:r>
      <w:r>
        <w:rPr>
          <w:rFonts w:ascii="Arial" w:hAnsi="Arial"/>
          <w:sz w:val="22"/>
        </w:rPr>
        <w:t>8</w:t>
      </w:r>
    </w:p>
    <w:p>
      <w:pPr>
        <w:pStyle w:val="TOC1"/>
        <w:tabs>
          <w:tab w:val="right" w:leader="dot" w:pos="9026"/>
        </w:tabs>
        <w:ind w:left="0"/>
        <w:spacing w:after="60"/>
      </w:pPr>
      <w:r>
        <w:rPr>
          <w:rFonts w:ascii="Arial" w:hAnsi="Arial"/>
          <w:sz w:val="22"/>
        </w:rPr>
        <w:t>Referencias</w:t>
      </w:r>
      <w:r>
        <w:tab/>
      </w:r>
      <w:r>
        <w:rPr>
          <w:rFonts w:ascii="Arial" w:hAnsi="Arial"/>
          <w:sz w:val="22"/>
        </w:rPr>
        <w:t>10</w:t>
      </w:r>
    </w:p>
    <w:p>
      <w:r>
        <w:fldChar w:fldCharType="end"/>
      </w:r>
    </w:p>
    <w:p>
      <w:r>
        <w:br w:type="page"/>
      </w:r>
    </w:p>
    <w:p>
      <w:pPr>
        <w:pStyle w:val="FirstParagraph"/>
      </w:pPr>
      <w:r>
        <w:rPr>
          <w:b/>
          <w:bCs/>
        </w:rPr>
        <w:t xml:space="preserve">Evaluación del Desempeño Docente y Factibilidad de Implementación de un Modelo de Retroalimentación 360° en el Departamento de Administración Pública del CURZAS-UNCo (2025–2026)</w:t>
      </w:r>
      <w:r>
        <w:br/>
      </w:r>
      <w:r>
        <w:rPr>
          <w:i/>
          <w:iCs/>
        </w:rPr>
        <w:t xml:space="preserve">(Trabajo Práctico N° 2: Primera Parte de la Estructura del Proyecto de Investigación de TFG)</w:t>
      </w:r>
    </w:p>
    <w:p>
      <w:pPr>
        <w:pStyle w:val="BodyText"/>
      </w:pPr>
      <w:r>
        <w:br/>
      </w:r>
    </w:p>
    <w:bookmarkEnd w:id="12"/>
    <w:bookmarkStart w:id="18" w:name="tema-de-investigación"/>
    <w:p>
      <w:pPr>
        <w:pStyle w:val="Heading1"/>
      </w:pPr>
      <w:r>
        <w:t xml:space="preserve">1. Tema de Investigación</w:t>
      </w:r>
    </w:p>
    <w:bookmarkStart w:id="16" w:name="X3b7543707cc40a247a490b86cb2ce8465d5a046"/>
    <w:p>
      <w:pPr>
        <w:pStyle w:val="Heading2"/>
      </w:pPr>
      <w: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 (Oszlak, 2020). Conforme a las pautas del Seminario de Integración y Aplicación (SIA) y a los criterios del Reglamento de Trabajo Final de Graduación (Universidad Nacional del Comahue - CURZAS, 2023), el tema se delimita mediante el criterio de</w:t>
      </w:r>
      <w:r>
        <w:t xml:space="preserve"> </w:t>
      </w:r>
      <w:r>
        <w:t xml:space="preserve">“pirámide invertida”</w:t>
      </w:r>
      <w:r>
        <w:t xml:space="preserve"> </w:t>
      </w:r>
      <w:r>
        <w:t xml:space="preserve">(Sautu, 2005),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 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 (Longo, 2006).</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 (Chiavenato, 2020) para orientarse hacia un enfoque formativo de aprendizaje continuo. Para ello, se analiza la factibilidad de un modelo de</w:t>
      </w:r>
      <w:r>
        <w:t xml:space="preserve"> </w:t>
      </w:r>
      <w:r>
        <w:rPr>
          <w:b/>
          <w:bCs/>
        </w:rPr>
        <w:t xml:space="preserve">retroalimentación 360 grados</w:t>
      </w:r>
      <w:r>
        <w:t xml:space="preserve">, que articula diversas miradas sobre la labor docente: autoevaluación, valoración de pares disciplinares, apreciación de los estudiantes y seguimiento de directores departamentales (Dalmau et al., 2017; Lepsinger &amp; Lucia, 2009).</w:t>
      </w:r>
    </w:p>
    <w:bookmarkEnd w:id="16"/>
    <w:bookmarkStart w:id="17" w:name="Xbbec583eb196cb9ac3faf82921907416d115537"/>
    <w:p>
      <w:pPr>
        <w:pStyle w:val="Heading2"/>
      </w:pPr>
      <w: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 (Ministerio de Educación, 1995) 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se encuentra reglada por el Estatuto de la UNCo (Ordenanza N° 470/2009 y sus modificatorias), el Reglamento de Carrera Docente (Ordenanza N° 0920/2019 y sus normas complementarias) y el Convenio Colectivo de Trabajo Docente homologado por Decreto N° 1246/2015 (Poder Ejecutivo Nacional, 2015). Estos instrumentos fijan mecanismos periódicos de evaluación con fines de permanencia y promoción, que incluyen informes de labor académica, dictámenes de pares y encuestas estudiantiles de fin de cuatrimestre.</w:t>
      </w:r>
    </w:p>
    <w:p>
      <w:pPr>
        <w:pStyle w:val="BodyText"/>
      </w:pPr>
      <w:r>
        <w:t xml:space="preserve">A partir de este marco, el proyecto plantea como</w:t>
      </w:r>
      <w:r>
        <w:t xml:space="preserve"> </w:t>
      </w:r>
      <w:r>
        <w:rPr>
          <w:b/>
          <w:bCs/>
        </w:rPr>
        <w:t xml:space="preserve">supuesto de partida e hipótesis exploratoria</w:t>
      </w:r>
      <w:r>
        <w:t xml:space="preserve"> </w:t>
      </w:r>
      <w:r>
        <w:t xml:space="preserve">que, en la dinámica cotidiana, dichos dispositivos podrían estar funcionando prioritariamente con un sentido administrativo y sumativo, enfocado en el cumplimiento reglamentario. No obstante, lejos de asumir una conclusión anticipada,</w:t>
      </w:r>
      <w:r>
        <w:t xml:space="preserve"> </w:t>
      </w:r>
      <w:r>
        <w:rPr>
          <w:b/>
          <w:bCs/>
        </w:rPr>
        <w:t xml:space="preserve">será necesario indagar empíricamente si</w:t>
      </w:r>
      <w:r>
        <w:t xml:space="preserve"> </w:t>
      </w:r>
      <w:r>
        <w:t xml:space="preserve">estas herramientas operan de manera aislada o si generan instancias efectivas de retroalimentación pedagógica. Examinar si los resultados evaluativos se vinculan efectivamente con planes de capacitación y mejora docente constituye el objetivo central del relevamiento de campo para el período</w:t>
      </w:r>
      <w:r>
        <w:t xml:space="preserve"> </w:t>
      </w:r>
      <w:r>
        <w:rPr>
          <w:b/>
          <w:bCs/>
        </w:rPr>
        <w:t xml:space="preserve">2025–2026</w:t>
      </w:r>
      <w:r>
        <w:t xml:space="preserve">.</w:t>
      </w:r>
    </w:p>
    <w:bookmarkEnd w:id="17"/>
    <w:bookmarkEnd w:id="18"/>
    <w:bookmarkStart w:id="26" w:name="delimitación-del-objeto-problema"/>
    <w:p>
      <w:pPr>
        <w:pStyle w:val="Heading1"/>
      </w:pPr>
      <w:r>
        <w:t xml:space="preserve">2. Delimitación del Objeto Problema</w:t>
      </w:r>
    </w:p>
    <w:bookmarkStart w:id="19" w:name="X9314e5ae1895006622d4a256dda74be91243933"/>
    <w:p>
      <w:pPr>
        <w:pStyle w:val="Heading2"/>
      </w:pPr>
      <w: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 (Wainerman &amp; Sautu, 2011). En la educación pública, la evaluación docente suele debatirse entre dos lógicas: el control formal-estatutario y el acompañamiento formativo enfocado en el desarrollo continuo (Longo, 2006).</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Si bien se aplican periódicamente encuestas a estudiantes,</w:t>
      </w:r>
      <w:r>
        <w:t xml:space="preserve"> </w:t>
      </w:r>
      <w:r>
        <w:rPr>
          <w:b/>
          <w:bCs/>
        </w:rPr>
        <w:t xml:space="preserve">se plantea como hipótesis a contrastar si estos instrumentos son percibidos en la práctica como un trámite formal</w:t>
      </w:r>
      <w:r>
        <w:t xml:space="preserve">, con escasa incidencia en la autoevaluación docente, el diálogo entre pares o la planificación del departamento.</w:t>
      </w:r>
    </w:p>
    <w:p>
      <w:pPr>
        <w:pStyle w:val="BodyText"/>
      </w:pPr>
      <w:r>
        <w:t xml:space="preserve">Para responder a este interrogante, la literatura especializada destaca el modelo de</w:t>
      </w:r>
      <w:r>
        <w:t xml:space="preserve"> </w:t>
      </w:r>
      <w:r>
        <w:rPr>
          <w:b/>
          <w:bCs/>
        </w:rPr>
        <w:t xml:space="preserve">evaluación multiactoral o 360 grados</w:t>
      </w:r>
      <w:r>
        <w:t xml:space="preserve"> </w:t>
      </w:r>
      <w:r>
        <w:t xml:space="preserve">(Dalmau et al., 2017; Lepsinger &amp; Lucia, 2009) como una herramienta idónea para articular distintas fuentes de retroalimentación: la reflexión del propio docente, el juicio de colegas de cátedra, la valoración de los estudiantes y el seguimiento institucional.</w:t>
      </w:r>
    </w:p>
    <w:p>
      <w:pPr>
        <w:pStyle w:val="BodyText"/>
      </w:pPr>
      <w:r>
        <w:t xml:space="preserve">Conviene advertir que</w:t>
      </w:r>
      <w:r>
        <w:t xml:space="preserve"> </w:t>
      </w:r>
      <w:r>
        <w:rPr>
          <w:b/>
          <w:bCs/>
        </w:rPr>
        <w:t xml:space="preserve">la evaluación 360° no garantiza resultados formativos de forma automática</w:t>
      </w:r>
      <w:r>
        <w:t xml:space="preserve">. Las investigaciones comparadas señalan que su viabilidad depende de condiciones precisas: anonimato y confidencialidad de los datos, instrumentos pedagógicamente válidos, sensibilización previa de los claustros y un clima institucional de confianza que aleje cualquier percepción de control punitivo.</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w:t>
      </w:r>
      <w:r>
        <w:t xml:space="preserve">(como la permanencia o promoción regladas por la Ordenanza N° 0920/2019 y modificatorias, y el CCT Docente, Decreto N° 1246/2015). Trasladar herramientas de gestión sin cuidar esta frontera o sin el acuerdo de los claustros podría despertar comprensibles prevenciones. Por eso, la viabilidad de cualquier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(Matus, 1993; Longo, 2006).</w:t>
      </w:r>
    </w:p>
    <w:bookmarkEnd w:id="19"/>
    <w:bookmarkStart w:id="20" w:name="Xd94378588030de20cc99227353d9ba92b45f085"/>
    <w:p>
      <w:pPr>
        <w:pStyle w:val="Heading2"/>
      </w:pPr>
      <w: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 Matus, 1993); y</w:t>
      </w:r>
      <w:r>
        <w:t xml:space="preserve"> </w:t>
      </w:r>
      <w:r>
        <w:rPr>
          <w:i/>
          <w:iCs/>
        </w:rPr>
        <w:t xml:space="preserve">Gestión del Desarrollo</w:t>
      </w:r>
      <w:r>
        <w:t xml:space="preserve"> </w:t>
      </w:r>
      <w:r>
        <w:t xml:space="preserve">(aprendizaje continuo y formación pedagógica articulada; Longo, 2006).</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w:t>
      </w:r>
      <w:r>
        <w:t xml:space="preserve"> </w:t>
      </w:r>
      <w:r>
        <w:t xml:space="preserve">Formulación del problema, revisión bibliográfica sistemática sobre evaluación 360°, análisis normativo institucional (Estatuto UNCo, Ordenanzas CS N° 470/2009 y N° 0920/2019 con sus modificatorias, y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pPr>
      <w:r>
        <w:t xml:space="preserve">2.3 Operacionalización de las Dimensiones de Factibilidad</w:t>
      </w:r>
    </w:p>
    <w:bookmarkStart w:id="21" w:name="Xcdb87a96a95f00839381972ad43f2df4cfe9f8a"/>
    <w:p>
      <w:pPr>
        <w:pStyle w:val="Heading3"/>
      </w:pPr>
      <w: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implica responder a cuatro interrogantes centrales:</w:t>
      </w:r>
      <w:r>
        <w:t xml:space="preserve"> </w:t>
      </w:r>
      <w:r>
        <w:t xml:space="preserve">1.</w:t>
      </w:r>
      <w:r>
        <w:t xml:space="preserve"> </w:t>
      </w:r>
      <w:r>
        <w:rPr>
          <w:b/>
          <w:bCs/>
        </w:rPr>
        <w:t xml:space="preserve">Compatibilidad jurídica:</w:t>
      </w:r>
      <w:r>
        <w:t xml:space="preserve"> </w:t>
      </w:r>
      <w:r>
        <w:t xml:space="preserve">¿Puede aplicarse con fines formativos sin colisionar con la estabilidad laboral regulada por el Estatuto UNCo, la Carrera Docente (Ord. N° 0920/2019 y modificatorias) y el CCT Docente (Decreto N° 1246/2015)?</w:t>
      </w:r>
      <w:r>
        <w:t xml:space="preserve"> </w:t>
      </w:r>
      <w:r>
        <w:t xml:space="preserve">2.</w:t>
      </w:r>
      <w:r>
        <w:t xml:space="preserve"> </w:t>
      </w:r>
      <w:r>
        <w:rPr>
          <w:b/>
          <w:bCs/>
        </w:rPr>
        <w:t xml:space="preserve">Capacidad técnica y de gestión:</w:t>
      </w:r>
      <w:r>
        <w:t xml:space="preserve"> </w:t>
      </w:r>
      <w:r>
        <w:t xml:space="preserve">¿Existen plataformas informáticas (SIU-Guaraní, campus virtual) y circuitos administrativos capaces de resguardar el anonimato y procesar devoluciones oportunas?</w:t>
      </w:r>
      <w:r>
        <w:t xml:space="preserve"> </w:t>
      </w:r>
      <w:r>
        <w:t xml:space="preserve">3.</w:t>
      </w:r>
      <w:r>
        <w:t xml:space="preserve"> </w:t>
      </w:r>
      <w:r>
        <w:rPr>
          <w:b/>
          <w:bCs/>
        </w:rPr>
        <w:t xml:space="preserve">Aceptación y confianza de los claustros:</w:t>
      </w:r>
      <w:r>
        <w:t xml:space="preserve"> </w:t>
      </w:r>
      <w:r>
        <w:t xml:space="preserve">¿Existe disposición en docentes, estudiantes y autoridades para participar en una evaluación multiactoral, disipando temores a controles punitivos?</w:t>
      </w:r>
      <w:r>
        <w:t xml:space="preserve"> </w:t>
      </w:r>
      <w:r>
        <w:t xml:space="preserve">4.</w:t>
      </w:r>
      <w:r>
        <w:t xml:space="preserve"> </w:t>
      </w:r>
      <w:r>
        <w:rPr>
          <w:b/>
          <w:bCs/>
        </w:rPr>
        <w:t xml:space="preserve">Legitimidad en el cogobierno:</w:t>
      </w:r>
      <w:r>
        <w:t xml:space="preserve"> </w:t>
      </w:r>
      <w:r>
        <w:t xml:space="preserve">¿Cuenta la propuesta con viabilidad política para ser tratada y consensuada en los órganos colegiados sobre variables de control compartido (Matus, 1993; Longo, 2006)?</w:t>
      </w:r>
    </w:p>
    <w:bookmarkEnd w:id="21"/>
    <w:bookmarkStart w:id="22" w:name="X5965ca74dc7a4b9398fc285497af16a05ed033f"/>
    <w:p>
      <w:pPr>
        <w:pStyle w:val="Heading3"/>
      </w:pPr>
      <w:r>
        <w:t xml:space="preserve">2.3.2 Dimensiones de Observación y Fuentes Empíricas</w:t>
      </w:r>
    </w:p>
    <w:p>
      <w:pPr>
        <w:pStyle w:val="FirstParagraph"/>
      </w:pPr>
      <w:r>
        <w:t xml:space="preserve">Para contrastar estos aspectos en el trabajo de campo, la investigación desagrega la factibilidad en cinco dimensiones observables: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470/2009 y modif.), la Carrera Docente (Ord. N° 0920/2019 y modificatorias) y el CCT Docente (Decreto N° 1246/2015)</w:t>
            </w:r>
          </w:p>
        </w:tc>
        <w:tc>
          <w:tcPr/>
          <w:p>
            <w:pPr>
              <w:pStyle w:val="Compact"/>
              <w:jc w:val="left"/>
            </w:pPr>
            <w:r>
              <w:t xml:space="preserve">Análisis documental normativo; ausencia de colisión con la estabilidad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diseño pedagógico de instrumentos</w:t>
            </w:r>
          </w:p>
        </w:tc>
        <w:tc>
          <w:tcPr/>
          <w:p>
            <w:pPr>
              <w:pStyle w:val="Compact"/>
              <w:jc w:val="left"/>
            </w:pPr>
            <w:r>
              <w:t xml:space="preserve">Relevamiento de entornos virtuales (SIU-Guaraní, campus virtual); validez y confidencialidad técnica</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w:t>
            </w:r>
          </w:p>
        </w:tc>
        <w:tc>
          <w:tcPr/>
          <w:p>
            <w:pPr>
              <w:pStyle w:val="Compact"/>
              <w:jc w:val="left"/>
            </w:pPr>
            <w:r>
              <w:t xml:space="preserve">Procedimientos administrativos instituidos; capacidad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los claustros ante la coevaluación</w:t>
            </w:r>
          </w:p>
        </w:tc>
        <w:tc>
          <w:tcPr/>
          <w:p>
            <w:pPr>
              <w:pStyle w:val="Compact"/>
              <w:jc w:val="left"/>
            </w:pPr>
            <w:r>
              <w:t xml:space="preserve">Cuestionarios y entrevistas; percepción de utilidad pedagógica y eventuales prevenciones frente al control sumativo</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Directivo y Departamental) y mesas paritarias</w:t>
            </w:r>
          </w:p>
        </w:tc>
        <w:tc>
          <w:tcPr/>
          <w:p>
            <w:pPr>
              <w:pStyle w:val="Compact"/>
              <w:jc w:val="left"/>
            </w:pPr>
            <w:r>
              <w:t xml:space="preserve">Acuerdos colegiados; consulta a representaciones gremiales sobre variables de control compartido</w:t>
            </w:r>
          </w:p>
        </w:tc>
      </w:tr>
    </w:tbl>
    <w:bookmarkEnd w:id="22"/>
    <w:bookmarkStart w:id="23" w:name="X8f4da2a33d80423d494a47dd434126cfe1b5efc"/>
    <w:p>
      <w:pPr>
        <w:pStyle w:val="Heading3"/>
      </w:pPr>
      <w:r>
        <w:t xml:space="preserve">2.3.3 Criterios Cualitativos para la Interpretación de Resultados</w:t>
      </w:r>
    </w:p>
    <w:p>
      <w:pPr>
        <w:pStyle w:val="FirstParagraph"/>
      </w:pPr>
      <w:r>
        <w:t xml:space="preserve">Para valorar las conclusiones del relevamiento empírico sin recurrir a mediciones forzadas, la investigación establece tres categorías cualitativas de interpretación:</w:t>
      </w:r>
    </w:p>
    <w:p>
      <w:pPr>
        <w:pStyle w:val="Compact"/>
        <w:numPr>
          <w:ilvl w:val="0"/>
          <w:numId w:val="1003"/>
        </w:numPr>
      </w:pPr>
      <w:r>
        <w:rPr>
          <w:b/>
          <w:bCs/>
        </w:rPr>
        <w:t xml:space="preserve">Factibilidad Alta (Favorable):</w:t>
      </w:r>
      <w:r>
        <w:t xml:space="preserve"> </w:t>
      </w:r>
      <w:r>
        <w:t xml:space="preserve">Se verifica cuando existe compatibilidad normativa plena, soporte tecnológico adecuado, disposición favorable de los tres claustros (docentes, alumnos y directores) y viabilidad de tratamiento colegiado en el cogobierno.</w:t>
      </w:r>
    </w:p>
    <w:p>
      <w:pPr>
        <w:pStyle w:val="Compact"/>
        <w:numPr>
          <w:ilvl w:val="0"/>
          <w:numId w:val="1003"/>
        </w:numPr>
      </w:pPr>
      <w:r>
        <w:rPr>
          <w:b/>
          <w:bCs/>
        </w:rPr>
        <w:t xml:space="preserve">Factibilidad Condicionada (Media / Viable con adecuaciones):</w:t>
      </w:r>
      <w:r>
        <w:t xml:space="preserve"> </w:t>
      </w:r>
      <w:r>
        <w:t xml:space="preserve">Se constata cuando no existen impedimentos jurídicos ni rechazo de fondo, pero la aplicación requiere pasos previos de gestión institucional: acuerdos paritarios específicos sobre confidencialidad, adecuación de plataformas digitales, instancias de sensibilización docente o implementación gradual mediante pruebas piloto.</w:t>
      </w:r>
    </w:p>
    <w:p>
      <w:pPr>
        <w:pStyle w:val="Compact"/>
        <w:numPr>
          <w:ilvl w:val="0"/>
          <w:numId w:val="1003"/>
        </w:numPr>
      </w:pPr>
      <w:r>
        <w:rPr>
          <w:b/>
          <w:bCs/>
        </w:rPr>
        <w:t xml:space="preserve">Factibilidad Baja (Desfavorable / Inviable):</w:t>
      </w:r>
      <w:r>
        <w:t xml:space="preserve"> </w:t>
      </w:r>
      <w:r>
        <w:t xml:space="preserve">Se determina ante la presencia de barreras estructurales no superables en el corto plazo, tales como colisión con el régimen estatutario de carrera docente, desconfianza generalizada en los claustros o carencia absoluta de soporte técnico y administrativo.</w:t>
      </w:r>
    </w:p>
    <w:bookmarkEnd w:id="23"/>
    <w:bookmarkEnd w:id="24"/>
    <w:bookmarkStart w:id="25" w:name="pregunta-general-de-investigación"/>
    <w:p>
      <w:pPr>
        <w:pStyle w:val="Heading2"/>
      </w:pPr>
      <w: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pPr>
      <w:r>
        <w:t xml:space="preserve">3. Justificación y Relevancia de la Investigación</w:t>
      </w:r>
    </w:p>
    <w:p>
      <w:pPr>
        <w:pStyle w:val="FirstParagraph"/>
      </w:pPr>
      <w:r>
        <w:t xml:space="preserve">La pertinencia del proyecto se sustenta en tres planos complementarios, acatando el esquema formal establecido por la normativa de graduación institucional (Universidad Nacional del Comahue - CURZAS, 2023):</w:t>
      </w:r>
    </w:p>
    <w:bookmarkStart w:id="27" w:name="plano-cognitivo-y-disciplinar"/>
    <w:p>
      <w:pPr>
        <w:pStyle w:val="Heading2"/>
      </w:pPr>
      <w: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 (Oszlak, 2020).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 Longo (2006) 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pPr>
      <w: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r>
        <w:t xml:space="preserve"> </w:t>
      </w:r>
      <w:r>
        <w:t xml:space="preserve">-</w:t>
      </w:r>
      <w:r>
        <w:t xml:space="preserve"> </w:t>
      </w: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r>
        <w:t xml:space="preserve"> </w:t>
      </w:r>
      <w:r>
        <w:t xml:space="preserve">-</w:t>
      </w:r>
      <w:r>
        <w:t xml:space="preserve"> </w:t>
      </w: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r>
        <w:t xml:space="preserve"> </w:t>
      </w:r>
      <w:r>
        <w:t xml:space="preserve">-</w:t>
      </w:r>
      <w:r>
        <w:t xml:space="preserve"> </w:t>
      </w: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pPr>
      <w: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pPr>
      <w:r>
        <w:t xml:space="preserve">4. Definición de Objetivos del TFG</w:t>
      </w:r>
    </w:p>
    <w:p>
      <w:pPr>
        <w:pStyle w:val="FirstParagraph"/>
      </w:pPr>
      <w:r>
        <w:t xml:space="preserve">En estricta correspondencia lógica y simétrica con la pregunta general de investigación, los objetivos se formulan mediante verbos en infinitivo que denotan acción empíricamente contrastable:</w:t>
      </w:r>
    </w:p>
    <w:bookmarkStart w:id="31" w:name="objetivo-general"/>
    <w:p>
      <w:pPr>
        <w:pStyle w:val="Heading2"/>
      </w:pPr>
      <w:r>
        <w:t xml:space="preserve">4.1 Objetivo General</w:t>
      </w:r>
    </w:p>
    <w:p>
      <w:pPr>
        <w:pStyle w:val="Compact"/>
        <w:numPr>
          <w:ilvl w:val="0"/>
          <w:numId w:val="1004"/>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pPr>
      <w:r>
        <w:t xml:space="preserve">4.2 Objetivos Específicos</w:t>
      </w:r>
    </w:p>
    <w:p>
      <w:pPr>
        <w:pStyle w:val="Compact"/>
        <w:numPr>
          <w:ilvl w:val="0"/>
          <w:numId w:val="1005"/>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rPr>
          <w:b/>
          <w:bCs/>
        </w:rPr>
        <w:t xml:space="preserve">Explorar las percepciones, disposiciones y expectativas</w:t>
      </w:r>
      <w:r>
        <w:t xml:space="preserve"> </w:t>
      </w:r>
      <w:r>
        <w:t xml:space="preserve">de los distintos claustros involucrados (docentes, estudiantes y directores de departamento) respecto a la retroalimentación multiactoral (360°) y las condiciones de confianza institucional requeridas.</w:t>
      </w:r>
    </w:p>
    <w:p>
      <w:pPr>
        <w:pStyle w:val="Compact"/>
        <w:numPr>
          <w:ilvl w:val="0"/>
          <w:numId w:val="1005"/>
        </w:numPr>
      </w:pPr>
      <w:r>
        <w:rPr>
          <w:b/>
          <w:bCs/>
        </w:rPr>
        <w:t xml:space="preserve">Identificar los condicionantes técnico-organizacionales, normativos y de gobernanza</w:t>
      </w:r>
      <w:r>
        <w:t xml:space="preserve"> </w:t>
      </w:r>
      <w:r>
        <w:t xml:space="preserve">(acuerdos paritarios, Carrera Docente según Ord. N° 0920/2019 y sus modificatorias, confidencialidad y cogobierno) que inciden en la factibilidad del modelo.</w:t>
      </w:r>
    </w:p>
    <w:p>
      <w:pPr>
        <w:pStyle w:val="Compact"/>
        <w:numPr>
          <w:ilvl w:val="0"/>
          <w:numId w:val="1005"/>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2"/>
      </w:pPr>
      <w:r>
        <w:t xml:space="preserve">4.3 Matriz de Consistencia Metodológica y Articulación con Longo (2006)</w:t>
      </w:r>
    </w:p>
    <w:p>
      <w:pPr>
        <w:pStyle w:val="FirstParagraph"/>
      </w:pPr>
      <w:r>
        <w:t xml:space="preserve">Para dotar de consistencia analítica a la investigación, cada subsistema del modelo de Longo (2006) aporta una clave interpretativa específica al problema planteado:</w:t>
      </w:r>
      <w:r>
        <w:t xml:space="preserve"> </w:t>
      </w:r>
      <w:r>
        <w:t xml:space="preserve">*</w:t>
      </w:r>
      <w:r>
        <w:t xml:space="preserve"> </w:t>
      </w: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r>
        <w:t xml:space="preserve"> </w:t>
      </w:r>
      <w:r>
        <w:t xml:space="preserve">*</w:t>
      </w:r>
      <w:r>
        <w:t xml:space="preserve"> </w:t>
      </w: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r>
        <w:t xml:space="preserve"> </w:t>
      </w:r>
      <w:r>
        <w:t xml:space="preserve">*</w:t>
      </w:r>
      <w:r>
        <w:t xml:space="preserve"> </w:t>
      </w: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r>
        <w:t xml:space="preserve"> </w:t>
      </w:r>
      <w:r>
        <w:t xml:space="preserve">*</w:t>
      </w:r>
      <w:r>
        <w:t xml:space="preserve"> </w:t>
      </w: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BodyText"/>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470/2009 y modif.),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directores de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técnico-viabilidad:</w:t>
            </w:r>
            <w:r>
              <w:t xml:space="preserve"> </w:t>
            </w:r>
            <w:r>
              <w:t xml:space="preserve">Identificación de condicionantes paritarios, procedimentales,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 - Dec. N° 1246/2015 y Ord. N° 0920/2019 y modif.</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35" w:name="referencias"/>
    <w:p>
      <w:pPr>
        <w:pStyle w:val="Heading1"/>
        <w:jc w:val="center"/>
      </w:pPr>
      <w:r>
        <w:t xml:space="preserve">Referencias</w:t>
      </w:r>
    </w:p>
    <w:bookmarkEnd w:id="35"/>
    <w:p>
      <w:pPr>
        <w:pStyle w:val="FirstParagraph"/>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p>
      <w:pPr>
        <w:pStyle w:val="BodyText"/>
        <w:spacing w:after="120"/>
        <w:ind w:left="720" w:hanging="720"/>
        <w:jc w:val="left"/>
      </w:pPr>
      <w:r>
        <w:t xml:space="preserve">Dalmau, I., Llinares, C., &amp; Montañana, A. (2017). La evaluación docente del profesorado universitario mediante el modelo 360°: Hacia un sistema formativo e integral.</w:t>
      </w:r>
      <w:r>
        <w:t xml:space="preserve"> </w:t>
      </w:r>
      <w:r>
        <w:rPr>
          <w:i/>
          <w:iCs/>
        </w:rPr>
        <w:t xml:space="preserve">Revista de Docencia Universitaria</w:t>
      </w:r>
      <w:r>
        <w:t xml:space="preserve">, 15(2), 245–266. https://doi.org/10.4995/redu.2017.6053</w:t>
      </w:r>
    </w:p>
    <w:p>
      <w:pPr>
        <w:pStyle w:val="BodyText"/>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p>
      <w:pPr>
        <w:pStyle w:val="BodyText"/>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p>
      <w:pPr>
        <w:pStyle w:val="BodyText"/>
        <w:spacing w:after="120"/>
        <w:ind w:left="720" w:hanging="720"/>
        <w:jc w:val="left"/>
      </w:pPr>
      <w:r>
        <w:t xml:space="preserve">Matus, C. (1993).</w:t>
      </w:r>
      <w:r>
        <w:t xml:space="preserve"> </w:t>
      </w:r>
      <w:r>
        <w:rPr>
          <w:i/>
          <w:iCs/>
        </w:rPr>
        <w:t xml:space="preserve">Política, planificación y gobierno</w:t>
      </w:r>
      <w:r>
        <w:t xml:space="preserve">. Fundación ALTIDIR.</w:t>
      </w:r>
    </w:p>
    <w:p>
      <w:pPr>
        <w:pStyle w:val="BodyText"/>
        <w:spacing w:after="120"/>
        <w:ind w:left="720" w:hanging="720"/>
        <w:jc w:val="left"/>
      </w:pPr>
      <w:r>
        <w:t xml:space="preserve">Ministerio de Educación. (1995, 10 de agosto).</w:t>
      </w:r>
      <w:r>
        <w:t xml:space="preserve"> </w:t>
      </w:r>
      <w:r>
        <w:rPr>
          <w:i/>
          <w:iCs/>
        </w:rPr>
        <w:t xml:space="preserve">Ley N° 24.521 de Educación Superior</w:t>
      </w:r>
      <w:r>
        <w:t xml:space="preserve">. Boletín Oficial de la República Argentina.</w:t>
      </w:r>
    </w:p>
    <w:p>
      <w:pPr>
        <w:pStyle w:val="BodyText"/>
        <w:spacing w:after="120"/>
        <w:ind w:left="720" w:hanging="720"/>
        <w:jc w:val="left"/>
      </w:pPr>
      <w:r>
        <w:t xml:space="preserve">Oszlak, O. (2020).</w:t>
      </w:r>
      <w:r>
        <w:t xml:space="preserve"> </w:t>
      </w:r>
      <w:r>
        <w:rPr>
          <w:i/>
          <w:iCs/>
        </w:rPr>
        <w:t xml:space="preserve">El Estado en la era del exponente tecnológico: Hacia una burocracia 4.0</w:t>
      </w:r>
      <w:r>
        <w:t xml:space="preserve">. Instituto Nacional de la Administración Pública.</w:t>
      </w:r>
    </w:p>
    <w:p>
      <w:pPr>
        <w:pStyle w:val="BodyText"/>
        <w:spacing w:after="120"/>
        <w:ind w:left="720" w:hanging="720"/>
        <w:jc w:val="left"/>
      </w:pPr>
      <w:r>
        <w:t xml:space="preserve">Poder Ejecutivo Nacional. (2015, 2 de julio).</w:t>
      </w:r>
      <w:r>
        <w:t xml:space="preserve"> </w:t>
      </w:r>
      <w:r>
        <w:rPr>
          <w:i/>
          <w:iCs/>
        </w:rPr>
        <w:t xml:space="preserve">Decreto N° 1246/2015. Convenio Colectivo de Trabajo para los Docentes de las Instituciones Universitarias Nacionales</w:t>
      </w:r>
      <w:r>
        <w:t xml:space="preserve">. Boletín Oficial de la República Argentina.</w:t>
      </w:r>
    </w:p>
    <w:p>
      <w:pPr>
        <w:pStyle w:val="BodyText"/>
        <w:spacing w:after="120"/>
        <w:ind w:left="720" w:hanging="720"/>
        <w:jc w:val="left"/>
      </w:pPr>
      <w:r>
        <w:t xml:space="preserve">Sautu, R. (2005).</w:t>
      </w:r>
      <w:r>
        <w:t xml:space="preserve"> </w:t>
      </w:r>
      <w:r>
        <w:rPr>
          <w:i/>
          <w:iCs/>
        </w:rPr>
        <w:t xml:space="preserve">Todo es teoría: Objetivos y métodos de investigación</w:t>
      </w:r>
      <w:r>
        <w:t xml:space="preserve">. Lumiere.</w:t>
      </w:r>
    </w:p>
    <w:p>
      <w:pPr>
        <w:pStyle w:val="BodyText"/>
        <w:spacing w:after="120"/>
        <w:ind w:left="720" w:hanging="720"/>
        <w:jc w:val="left"/>
      </w:pPr>
      <w:r>
        <w:t xml:space="preserve">Universidad Nacional del Comahue. (2009).</w:t>
      </w:r>
      <w:r>
        <w:t xml:space="preserve"> </w:t>
      </w:r>
      <w:r>
        <w:rPr>
          <w:i/>
          <w:iCs/>
        </w:rPr>
        <w:t xml:space="preserve">Ordenanza N° 470/2009: Estatuto de la Universidad Nacional del Comahue</w:t>
      </w:r>
      <w:r>
        <w:t xml:space="preserve"> </w:t>
      </w:r>
      <w:r>
        <w:t xml:space="preserve">(y sus normas modificatorias). Consejo Superior.</w:t>
      </w:r>
    </w:p>
    <w:p>
      <w:pPr>
        <w:pStyle w:val="BodyText"/>
        <w:spacing w:after="120"/>
        <w:ind w:left="720" w:hanging="720"/>
        <w:jc w:val="left"/>
      </w:pPr>
      <w:r>
        <w:t xml:space="preserve">Universidad Nacional del Comahue. (2019).</w:t>
      </w:r>
      <w:r>
        <w:t xml:space="preserve"> </w:t>
      </w:r>
      <w:r>
        <w:rPr>
          <w:i/>
          <w:iCs/>
        </w:rPr>
        <w:t xml:space="preserve">Ordenanza N° 0920/2019: Reglamento de Carrera Docente</w:t>
      </w:r>
      <w:r>
        <w:t xml:space="preserve"> </w:t>
      </w:r>
      <w:r>
        <w:t xml:space="preserve">(y sus normas modificatorias y complementarias). Consejo Superior.</w:t>
      </w:r>
    </w:p>
    <w:p>
      <w:pPr>
        <w:pStyle w:val="BodyText"/>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 </w:t>
      </w:r>
      <w:r>
        <w:t xml:space="preserve">(y resoluciones complementarias). Consejo Directivo.</w:t>
      </w:r>
    </w:p>
    <w:p>
      <w:pPr>
        <w:pStyle w:val="BodyText"/>
        <w:spacing w:after="120"/>
        <w:ind w:left="720" w:hanging="720"/>
        <w:jc w:val="left"/>
      </w:pPr>
      <w:r>
        <w:t xml:space="preserve">Wainerman, C., &amp; Sautu, R. (Comps.). (2011).</w:t>
      </w:r>
      <w:r>
        <w:t xml:space="preserve"> </w:t>
      </w:r>
      <w:r>
        <w:rPr>
          <w:i/>
          <w:iCs/>
        </w:rPr>
        <w:t xml:space="preserve">La trastienda de la investigación</w:t>
      </w:r>
      <w:r>
        <w:t xml:space="preserve"> </w:t>
      </w:r>
      <w:r>
        <w:t xml:space="preserve">(4.ª ed.). Manantial.</w:t>
      </w:r>
    </w:p>
    <w:sectPr>
      <w:footerReference w:type="default" r:id="rId10"/>
      <w:footnotePr>
        <w:numRestart w:val="eachSect"/>
      </w:footnotePr>
      <w:pgMar w:top="1417" w:bottom="1417" w:left="1417" w:right="1417"/>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Arial" w:hAnsi="Arial"/>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Arial" w:hAnsi="Arial"/>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2026-09-16T13:13:11Z</dcterms:created>
  <dcterms:modified xsi:type="dcterms:W3CDTF">2026-09-16T13:13:11Z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