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fb8b93d7239b0f402b4ecf260f9e41569f533d"/>
    <w:p>
      <w:pPr>
        <w:pStyle w:val="Heading1"/>
      </w:pPr>
      <w:r>
        <w:t xml:space="preserve">3. Análisis Comparativo Multidimensional: Nación vs. Neuquén</w:t>
      </w:r>
    </w:p>
    <w:p>
      <w:pPr>
        <w:pStyle w:val="FirstParagraph"/>
      </w:pPr>
      <w:r>
        <w:t xml:space="preserve">Texto de introducción…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space="0" w:color="153E5C"/>
          <w:left w:val="none"/>
          <w:bottom w:val="single" w:sz="12" w:space="0" w:color="153E5C"/>
          <w:right w:val="none"/>
          <w:insideH w:val="single" w:sz="4" w:space="0" w:color="E2E8F0"/>
          <w:insideV w:val="none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tcW w:w="2400" w:type="dxa"/>
            <w:shd w:val="clear" w:color="auto" w:fill="153E5C"/>
          </w:tcPr>
          <w:p>
            <w:pPr>
              <w:pStyle w:val="Compact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Dimensión de Análisis</w:t>
            </w:r>
          </w:p>
        </w:tc>
        <w:tc>
          <w:tcPr>
            <w:tcW w:w="3480" w:type="dxa"/>
            <w:shd w:val="clear" w:color="auto" w:fill="153E5C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Nivel Nacional (INAP · Nación)</w:t>
            </w:r>
          </w:p>
        </w:tc>
        <w:tc>
          <w:tcPr>
            <w:tcW w:w="3480" w:type="dxa"/>
            <w:shd w:val="clear" w:color="auto" w:fill="153E5C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Jurisdicción Local (Neuquén Capital)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b/>
                <w:bCs/>
                <w:color w:val="153E5C"/>
                <w:sz w:val="18"/>
              </w:rPr>
              <w:t xml:space="preserve">Nivel de Gobierno y Misión</w:t>
            </w:r>
          </w:p>
        </w:tc>
        <w:tc>
          <w:tcPr>
            <w:tcW w:w="3480" w:type="dxa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color w:val="2D3748"/>
                <w:sz w:val="17"/>
              </w:rPr>
              <w:t xml:space="preserve">Nivel federal. Diseña lineamientos, marcos rectores, indicadores estadísticos e investigación de políticas públicas para la Administración Pública Nacional (APN).</w:t>
            </w:r>
          </w:p>
        </w:tc>
        <w:tc>
          <w:tcPr>
            <w:tcW w:w="3480" w:type="dxa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color w:val="2D3748"/>
                <w:sz w:val="17"/>
              </w:rPr>
              <w:t xml:space="preserve">Nivel municipal / subnacional. Ejecución directa, prestación de servicios de cercanía, infraestructura urbana y resolución de problemas cotidianos de la ciudadanía.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8FAFC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b/>
                <w:bCs/>
                <w:color w:val="153E5C"/>
                <w:sz w:val="18"/>
              </w:rPr>
              <w:t xml:space="preserve">Enfoque del Portal Web</w:t>
            </w:r>
          </w:p>
        </w:tc>
        <w:tc>
          <w:tcPr>
            <w:tcW w:w="3480" w:type="dxa"/>
            <w:shd w:val="clear" w:color="auto" w:fill="F8FAFC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color w:val="2D3748"/>
                <w:sz w:val="17"/>
              </w:rPr>
              <w:t xml:space="preserve">Observatorio analítico y conceptual. Centrado en la generación de conocimiento, publicaciones académicas y propuestas de medición institucional.</w:t>
            </w:r>
          </w:p>
        </w:tc>
        <w:tc>
          <w:tcPr>
            <w:tcW w:w="3480" w:type="dxa"/>
            <w:shd w:val="clear" w:color="auto" w:fill="F8FAFC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color w:val="2D3748"/>
                <w:sz w:val="17"/>
              </w:rPr>
              <w:t xml:space="preserve">Portal operativo y transaccional. Centrado en la ventanilla única virtual (</w:t>
            </w:r>
            <w:r>
              <w:rPr>
                <w:rStyle w:val="VerbatimChar"/>
                <w:rFonts w:ascii="Arial" w:hAnsi="Arial"/>
                <w:color w:val="2D3748"/>
                <w:sz w:val="17"/>
              </w:rPr>
              <w:t xml:space="preserve">WebLogin</w:t>
            </w:r>
            <w:r>
              <w:rPr>
                <w:rFonts w:ascii="Arial" w:hAnsi="Arial"/>
                <w:color w:val="2D3748"/>
                <w:sz w:val="17"/>
              </w:rPr>
              <w:t xml:space="preserve">), turnero digital y mapa de servicios en territorio.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b/>
                <w:bCs/>
                <w:color w:val="153E5C"/>
                <w:sz w:val="18"/>
              </w:rPr>
              <w:t xml:space="preserve">Gobierno Digital e Interoperabilidad</w:t>
            </w:r>
          </w:p>
        </w:tc>
        <w:tc>
          <w:tcPr>
            <w:tcW w:w="3480" w:type="dxa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color w:val="2D3748"/>
                <w:sz w:val="17"/>
              </w:rPr>
              <w:t xml:space="preserve">Impulsa la interoperabilidad federal, estándares de intercambio de datos, firma digital y plataformas transversales como TAD y Mi Argentina.</w:t>
            </w:r>
          </w:p>
        </w:tc>
        <w:tc>
          <w:tcPr>
            <w:tcW w:w="3480" w:type="dxa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color w:val="2D3748"/>
                <w:sz w:val="17"/>
              </w:rPr>
              <w:t xml:space="preserve">Implementa plataformas de gestión local interoperadas internamente: Catastro SITUN, Tribunal de Faltas, Cobranzas y Trámites Web.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8FAFC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b/>
                <w:bCs/>
                <w:color w:val="153E5C"/>
                <w:sz w:val="18"/>
              </w:rPr>
              <w:t xml:space="preserve">País Digital vs. Smart City</w:t>
            </w:r>
          </w:p>
        </w:tc>
        <w:tc>
          <w:tcPr>
            <w:tcW w:w="3480" w:type="dxa"/>
            <w:shd w:val="clear" w:color="auto" w:fill="F8FAFC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color w:val="2D3748"/>
                <w:sz w:val="17"/>
              </w:rPr>
              <w:t xml:space="preserve">Aborda la brecha digital macro: conectividad geográfica federal, tendido troncal, puntos Wi-Fi nacionales y métricas de computadoras por habitante.</w:t>
            </w:r>
          </w:p>
        </w:tc>
        <w:tc>
          <w:tcPr>
            <w:tcW w:w="3480" w:type="dxa"/>
            <w:shd w:val="clear" w:color="auto" w:fill="F8FAFC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color w:val="2D3748"/>
                <w:sz w:val="17"/>
              </w:rPr>
              <w:t xml:space="preserve">Aplica el concepto de</w:t>
            </w:r>
            <w:r>
              <w:rPr>
                <w:rFonts w:ascii="Arial" w:hAnsi="Arial"/>
                <w:color w:val="2D3748"/>
                <w:sz w:val="17"/>
              </w:rPr>
              <w:t xml:space="preserve"> </w:t>
            </w:r>
            <w:r>
              <w:rPr>
                <w:rFonts w:ascii="Arial" w:hAnsi="Arial"/>
                <w:i/>
                <w:iCs/>
                <w:color w:val="2D3748"/>
                <w:sz w:val="17"/>
              </w:rPr>
              <w:t xml:space="preserve">Ciudad Inteligente</w:t>
            </w:r>
            <w:r>
              <w:rPr>
                <w:rFonts w:ascii="Arial" w:hAnsi="Arial"/>
                <w:color w:val="2D3748"/>
                <w:sz w:val="17"/>
              </w:rPr>
              <w:t xml:space="preserve">: cámaras en vivo, Zonas Wi-Fi municipales en espacios verdes, gestión de tráfico inteligente y Polo Tecnológico.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b/>
                <w:bCs/>
                <w:color w:val="153E5C"/>
                <w:sz w:val="18"/>
              </w:rPr>
              <w:t xml:space="preserve">Modernización Administrativa</w:t>
            </w:r>
          </w:p>
        </w:tc>
        <w:tc>
          <w:tcPr>
            <w:tcW w:w="3480" w:type="dxa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color w:val="2D3748"/>
                <w:sz w:val="17"/>
              </w:rPr>
              <w:t xml:space="preserve">Focalizado en el Sistema de Gestión Documental Electrónica (GDE), expediente electrónico de compras públicas y reducción de tiempos ministeriales.</w:t>
            </w:r>
          </w:p>
        </w:tc>
        <w:tc>
          <w:tcPr>
            <w:tcW w:w="3480" w:type="dxa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color w:val="2D3748"/>
                <w:sz w:val="17"/>
              </w:rPr>
              <w:t xml:space="preserve">Focalizado en la ventanilla única de trámites municipales, despapelización de licencias, agrimensura, habilitaciones comerciales y digesto digital.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8FAFC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b/>
                <w:bCs/>
                <w:color w:val="153E5C"/>
                <w:sz w:val="18"/>
              </w:rPr>
              <w:t xml:space="preserve">Gobierno Abierto y Participación</w:t>
            </w:r>
          </w:p>
        </w:tc>
        <w:tc>
          <w:tcPr>
            <w:tcW w:w="3480" w:type="dxa"/>
            <w:shd w:val="clear" w:color="auto" w:fill="F8FAFC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color w:val="2D3748"/>
                <w:sz w:val="17"/>
              </w:rPr>
              <w:t xml:space="preserve">Alineado con compromisos internacionales: Alianza para el Gobierno Abierto (OGP), Carta Iberoamericana y estándares de transparencia de la OCDE.</w:t>
            </w:r>
          </w:p>
        </w:tc>
        <w:tc>
          <w:tcPr>
            <w:tcW w:w="3480" w:type="dxa"/>
            <w:shd w:val="clear" w:color="auto" w:fill="F8FAFC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color w:val="2D3748"/>
                <w:sz w:val="17"/>
              </w:rPr>
              <w:t xml:space="preserve">Enfocado en la transparencia de proximidad: Boletín Oficial digital, portal tributario abierto, participación comunitaria en ferias y empleo local.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b/>
                <w:bCs/>
                <w:color w:val="153E5C"/>
                <w:sz w:val="18"/>
              </w:rPr>
              <w:t xml:space="preserve">Capacitación del Talento Humano</w:t>
            </w:r>
          </w:p>
        </w:tc>
        <w:tc>
          <w:tcPr>
            <w:tcW w:w="3480" w:type="dxa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color w:val="2D3748"/>
                <w:sz w:val="17"/>
              </w:rPr>
              <w:t xml:space="preserve">Formación masiva de funcionarios federales a través del INAP, carreras de administración pública y gestión por competencias.</w:t>
            </w:r>
          </w:p>
        </w:tc>
        <w:tc>
          <w:tcPr>
            <w:tcW w:w="3480" w:type="dxa"/>
          </w:tcPr>
          <w:p>
            <w:pPr>
              <w:pStyle w:val="Compact"/>
              <w:spacing w:line="276" w:lineRule="auto" w:after="40" w:before="40"/>
              <w:jc w:val="left"/>
            </w:pPr>
            <w:r>
              <w:rPr>
                <w:rFonts w:ascii="Arial" w:hAnsi="Arial"/>
                <w:color w:val="2D3748"/>
                <w:sz w:val="17"/>
              </w:rPr>
              <w:t xml:space="preserve">Capacitación operativa de agentes municipales y formación directa a ciudadanos (cursos de seguridad vial, manipulación de alimentos).</w:t>
            </w:r>
          </w:p>
        </w:tc>
      </w:tr>
    </w:tbl>
    <w:p>
      <w:pPr>
        <w:pStyle w:val="BodyText"/>
      </w:pPr>
      <w:r>
        <w:t xml:space="preserve">Texto posterior…</w:t>
      </w:r>
    </w:p>
    <w:bookmarkEnd w:id="21"/>
    <w:sectPr>
      <w:headerReference r:id="rId9" w:type="default"/>
      <w:footerReference r:id="rId10" w:type="default"/>
      <w:headerReference r:id="rId11" w:type="first"/>
      <w:footerReference r:id="rId12" w:type="first"/>
      <w:footnotePr>
        <w:numRestart w:val="eachSect"/>
      </w:footnotePr>
      <w:pgMar w:bottom="1440" w:left="1440" w:right="1440" w:top="1440"/>
      <w:titlePg/>
      <w:pgNumType w:start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360" w:type="dxa"/>
      <w:jc w:val="center"/>
      <w:tblCellMar>
        <w:top w:w="80" w:type="dxa"/>
        <w:bottom w:w="40" w:type="dxa"/>
        <w:left w:w="60" w:type="dxa"/>
        <w:right w:w="60" w:type="dxa"/>
      </w:tblCellMar>
      <w:tblBorders>
        <w:top w:val="none"/>
        <w:left w:val="none"/>
        <w:bottom w:val="single" w:sz="8" w:space="4" w:color="94A3B8"/>
        <w:right w:val="none"/>
        <w:insideH w:val="none"/>
        <w:insideV w:val="none"/>
      </w:tblBorders>
    </w:tblPr>
    <w:tblGrid>
      <w:gridCol w:w="3500"/>
      <w:gridCol w:w="2360"/>
      <w:gridCol w:w="3500"/>
    </w:tblGrid>
    <w:tr>
      <w:tc>
        <w:tcPr>
          <w:tcW w:w="3500" w:type="dxa"/>
        </w:tcPr>
        <w:p>
          <w:pPr>
            <w:spacing w:before="60" w:after="0"/>
            <w:jc w:val="left"/>
          </w:pPr>
          <w:r>
            <w:rPr>
              <w:rFonts w:ascii="Arial" w:hAnsi="Arial"/>
              <w:color w:val="718096"/>
              <w:sz w:val="17"/>
            </w:rPr>
            <w:t>Políticas de Modernización del Estado</w:t>
          </w:r>
        </w:p>
      </w:tc>
      <w:tc>
        <w:tcPr>
          <w:tcW w:w="2360" w:type="dxa"/>
        </w:tcPr>
        <w:p>
          <w:pPr>
            <w:spacing w:before="45"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30744" cy="1333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744" cy="1333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0" w:type="dxa"/>
        </w:tcPr>
        <w:p>
          <w:pPr>
            <w:spacing w:before="60" w:after="0"/>
            <w:jc w:val="right"/>
          </w:pPr>
          <w:r>
            <w:rPr>
              <w:rFonts w:ascii="Arial" w:hAnsi="Arial"/>
              <w:color w:val="718096"/>
              <w:sz w:val="17"/>
            </w:rPr>
            <w:t xml:space="preserve">Página </w:t>
          </w:r>
          <w:fldSimple w:instr="PAGE">
            <w:r>
              <w:rPr>
                <w:rFonts w:ascii="Arial" w:hAnsi="Arial"/>
                <w:color w:val="718096"/>
                <w:sz w:val="17"/>
              </w:rPr>
              <w:t>1</w:t>
            </w:r>
          </w:fldSimple>
          <w:r>
            <w:rPr>
              <w:rFonts w:ascii="Arial" w:hAnsi="Arial"/>
              <w:color w:val="718096"/>
              <w:sz w:val="17"/>
            </w:rPr>
            <w:t xml:space="preserve"> de </w:t>
          </w:r>
          <w:fldSimple w:instr="PAGEREF FinDocumento \h">
            <w:r>
              <w:rPr>
                <w:rFonts w:ascii="Arial" w:hAnsi="Arial"/>
                <w:color w:val="718096"/>
                <w:sz w:val="17"/>
              </w:rPr>
              <w:t>8</w:t>
            </w:r>
          </w:fldSimple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  <w:pBdr>
        <w:bottom w:val="single" w:sz="4" w:space="4" w:color="CBD5E1"/>
      </w:pBdr>
    </w:pPr>
    <w:r/>
    <w:r>
      <w:rPr>
        <w:rFonts w:ascii="Arial" w:hAnsi="Arial"/>
        <w:b/>
        <w:color w:val="718096"/>
        <w:sz w:val="17"/>
      </w:rPr>
      <w:t xml:space="preserve">CURZAS · Universidad Nacional del Comahue    |    </w:t>
    </w:r>
    <w:r>
      <w:rPr>
        <w:rFonts w:ascii="Arial" w:hAnsi="Arial"/>
        <w:color w:val="718096"/>
        <w:sz w:val="17"/>
      </w:rPr>
      <w:t>Tecnología de la Información para la Gestión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00" w:lineRule="auto"/>
      <w:jc w:val="both"/>
    </w:pPr>
    <w:rPr>
      <w:rFonts w:ascii="Arial" w:hAnsi="Arial"/>
      <w:color w:val="2D3748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300" w:lineRule="auto"/>
      <w:jc w:val="both"/>
    </w:pPr>
    <w:rPr>
      <w:rFonts w:ascii="Arial" w:hAnsi="Arial"/>
      <w:color w:val="2D3748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300" w:lineRule="auto"/>
      <w:jc w:val="both"/>
    </w:pPr>
    <w:rPr>
      <w:rFonts w:ascii="Arial" w:hAnsi="Arial"/>
      <w:color w:val="2D3748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200" w:line="276" w:lineRule="auto"/>
      <w:contextualSpacing/>
      <w:jc w:val="left"/>
    </w:pPr>
    <w:rPr>
      <w:rFonts w:ascii="Arial" w:asciiTheme="majorHAnsi" w:cstheme="majorBidi" w:eastAsiaTheme="majorEastAsia" w:hAnsi="Arial" w:hAnsiTheme="majorHAnsi"/>
      <w:b/>
      <w:color w:val="1A365D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 w:before="0" w:line="276" w:lineRule="auto"/>
      <w:jc w:val="left"/>
    </w:pPr>
    <w:rPr>
      <w:rFonts w:ascii="Arial" w:cstheme="majorBidi" w:eastAsiaTheme="majorEastAsia" w:hAnsi="Arial"/>
      <w:i/>
      <w:color w:val="4A5568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/>
      <w:outlineLvl w:val="0"/>
    </w:pPr>
    <w:rPr>
      <w:rFonts w:ascii="Arial" w:asciiTheme="majorHAnsi" w:cstheme="majorBidi" w:eastAsiaTheme="majorEastAsia" w:hAnsi="Arial" w:hAnsiTheme="majorHAnsi"/>
      <w:b/>
      <w:color w:val="1A365D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60"/>
      <w:outlineLvl w:val="1"/>
    </w:pPr>
    <w:rPr>
      <w:rFonts w:ascii="Arial" w:asciiTheme="majorHAnsi" w:cstheme="majorBidi" w:eastAsiaTheme="majorEastAsia" w:hAnsi="Arial" w:hAnsiTheme="majorHAnsi"/>
      <w:b/>
      <w:color w:val="0E6873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/>
      <w:outlineLvl w:val="2"/>
    </w:pPr>
    <w:rPr>
      <w:rFonts w:ascii="Arial" w:cstheme="majorBidi" w:eastAsiaTheme="majorEastAsia" w:hAnsi="Arial"/>
      <w:b/>
      <w:color w:val="2D3748"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jc w:val="left"/>
    </w:pPr>
  </w:style>
  <w:style w:customStyle="1" w:styleId="Figure" w:type="paragraph">
    <w:name w:val="Figure"/>
    <w:basedOn w:val="Normal"/>
    <w:pPr>
      <w:spacing w:after="160" w:before="80"/>
      <w:jc w:val="center"/>
    </w:pPr>
  </w:style>
  <w:style w:customStyle="1" w:styleId="CaptionedFigure" w:type="paragraph">
    <w:name w:val="Captioned Figure"/>
    <w:basedOn w:val="Figure"/>
    <w:pPr>
      <w:keepNext/>
      <w:spacing w:after="160" w:before="8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header2.xml" Type="http://schemas.openxmlformats.org/officeDocument/2006/relationships/header" /><Relationship Id="rId12" Target="footer2.xml" Type="http://schemas.openxmlformats.org/officeDocument/2006/relationships/footer" 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2026-09-08T17:45:15Z</dcterms:created>
  <dcterms:modified xsi:type="dcterms:W3CDTF">2026-09-08T17:45:15Z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