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
      </w:pPr>
      <w:r>
        <w:drawing>
          <wp:inline>
            <wp:extent cx="1691640" cy="1725360"/>
            <wp:effectExtent b="0" l="0" r="0" t="0"/>
            <wp:docPr descr="" title="" id="22" name="Picture"/>
            <a:graphic>
              <a:graphicData uri="http://schemas.openxmlformats.org/drawingml/2006/picture">
                <pic:pic>
                  <pic:nvPicPr>
                    <pic:cNvPr descr="../../../recursos/Logotipo%20de%20curzas/CURZAS.png" id="23" name="Picture"/>
                    <pic:cNvPicPr>
                      <a:picLocks noChangeArrowheads="1" noChangeAspect="1"/>
                    </pic:cNvPicPr>
                  </pic:nvPicPr>
                  <pic:blipFill>
                    <a:blip r:embed="rId21"/>
                    <a:stretch>
                      <a:fillRect/>
                    </a:stretch>
                  </pic:blipFill>
                  <pic:spPr bwMode="auto">
                    <a:xfrm>
                      <a:off x="0" y="0"/>
                      <a:ext cx="1691640" cy="1725360"/>
                    </a:xfrm>
                    <a:prstGeom prst="rect">
                      <a:avLst/>
                    </a:prstGeom>
                    <a:noFill/>
                    <a:ln w="9525">
                      <a:noFill/>
                      <a:headEnd/>
                      <a:tailEnd/>
                    </a:ln>
                  </pic:spPr>
                </pic:pic>
              </a:graphicData>
            </a:graphic>
          </wp:inline>
        </w:drawing>
      </w:r>
    </w:p>
    <w:p xmlns:w="http://schemas.openxmlformats.org/wordprocessingml/2006/main">
      <w:pPr>
        <w:pBdr>
          <w:bottom w:val="single" w:sz="24" w:space="1" w:color="C1741F"/>
        </w:pBdr>
        <w:spacing w:before="60" w:after="240"/>
      </w:pPr>
    </w:p>
    <w:p>
      <w:pPr>
        <w:pStyle w:val="Title"/>
      </w:pPr>
      <w:r>
        <w:t xml:space="preserve">POLÍTICAS DE MODERNIZACIÓN DEL ESTADO</w:t>
      </w:r>
    </w:p>
    <w:p>
      <w:pPr>
        <w:pStyle w:val="Subtitle"/>
      </w:pPr>
      <w:r>
        <w:t xml:space="preserve">Investigación y Estudio Comparativo: Nivel Nacional (INAP) y Jurisdicción Subnacional (Neuquén Capital) · Tema 2</w:t>
      </w:r>
    </w:p>
    <w:tbl xmlns:w="http://schemas.openxmlformats.org/wordprocessingml/2006/main">
      <w:tblPr>
        <w:tblW w:w="5000" w:type="pct"/>
        <w:tblLayout w:type="fixed"/>
        <w:tblBorders>
          <w:top w:val="single" w:sz="4" w:space="0" w:color="E2E8F0"/>
          <w:left w:val="single" w:sz="24" w:space="0" w:color="C1741F"/>
          <w:bottom w:val="single" w:sz="4" w:space="0" w:color="E2E8F0"/>
          <w:right w:val="single" w:sz="4" w:space="0" w:color="E2E8F0"/>
          <w:insideH w:val="none"/>
          <w:insideV w:val="none"/>
        </w:tblBorders>
        <w:tblCellMar>
          <w:top w:w="140" w:type="dxa"/>
          <w:left w:w="200" w:type="dxa"/>
          <w:bottom w:w="140" w:type="dxa"/>
          <w:right w:w="200" w:type="dxa"/>
        </w:tblCellMar>
      </w:tblPr>
      <w:tblGrid>
        <w:gridCol w:w="9360"/>
      </w:tblGrid>
      <w:tr>
        <w:trPr>
          <w:cantSplit/>
        </w:trPr>
        <w:tc>
          <w:tcPr>
            <w:tcW w:w="9360" w:type="dxa"/>
            <w:shd w:val="clear" w:color="auto" w:fill="FDF8F3"/>
          </w:tcPr>
          <w:p>
            <w:pPr>
              <w:pStyle w:val="Compact"/>
              <w:spacing w:before="40" w:after="80"/>
            </w:pPr>
            <w:r>
              <w:rPr>
                <w:rFonts w:ascii="Arial" w:hAnsi="Arial"/>
                <w:b/>
                <w:color w:val="C1741F"/>
                <w:sz w:val="20"/>
              </w:rPr>
              <w:t>PROPÓSITO Y SÍNTESIS DE LA ACTIVIDAD</w:t>
            </w:r>
          </w:p>
          <w:p>
            <w:pPr>
              <w:pStyle w:val="Compact"/>
              <w:spacing w:before="40" w:after="40" w:line="276" w:lineRule="auto"/>
            </w:pPr>
            <w:r>
              <w:rPr>
                <w:rFonts w:ascii="Arial" w:hAnsi="Arial"/>
                <w:color w:val="2D3748"/>
                <w:sz w:val="19"/>
              </w:rPr>
              <w:t>Investigar, describir y analizar comparativamente las políticas públicas y plataformas digitales de modernización del Estado implementadas por el Gobierno Nacional a través del Observatorio de la Administración Pública del INAP y por la Secretaría de Modernización de la Ciudad de Neuquén. Se examinan las dimensiones de gobierno digital, inclusión tecnológica, simplificación administrativa y gobierno abierto, evaluando los desafíos de interoperabilidad federal, la reducción de brechas y la complementariedad multinivel.</w:t>
            </w:r>
          </w:p>
        </w:tc>
      </w:tr>
    </w:tbl>
    <w:p xmlns:w="http://schemas.openxmlformats.org/wordprocessingml/2006/main">
      <w:pPr>
        <w:spacing w:before="140" w:after="100"/>
        <w:pBdr>
          <w:bottom w:val="single" w:sz="6" w:space="1" w:color="CBD5E1"/>
        </w:pBdr>
      </w:pPr>
    </w:p>
    <w:tbl xmlns:w="http://schemas.openxmlformats.org/wordprocessingml/2006/main">
      <w:tblPr>
        <w:tblW w:w="5000" w:type="pct"/>
        <w:tblLayout w:type="fixed"/>
        <w:tblBorders>
          <w:top w:val="single" w:sz="6" w:space="0" w:color="0E6873"/>
          <w:left w:val="single" w:sz="24" w:space="0" w:color="0E6873"/>
          <w:bottom w:val="single" w:sz="6" w:space="0" w:color="0E6873"/>
          <w:right w:val="single" w:sz="6" w:space="0" w:color="CBD5E1"/>
          <w:insideH w:val="single" w:sz="4" w:space="0" w:color="E2E8F0"/>
          <w:insideV w:val="none"/>
        </w:tblBorders>
        <w:tblCellMar>
          <w:top w:w="120" w:type="dxa"/>
          <w:left w:w="160" w:type="dxa"/>
          <w:bottom w:w="120" w:type="dxa"/>
          <w:right w:w="160" w:type="dxa"/>
        </w:tblCellMar>
      </w:tblPr>
      <w:tblGrid>
        <w:gridCol w:w="3200"/>
        <w:gridCol w:w="6160"/>
      </w:tblGrid>
      <w:tr>
        <w:trPr>
          <w:cantSplit/>
        </w:trPr>
        <w:tc>
          <w:tcPr>
            <w:tcW w:w="3200" w:type="dxa"/>
            <w:shd w:val="clear" w:color="auto" w:fill="F2F7F7"/>
          </w:tcPr>
          <w:p>
            <w:pPr>
              <w:pStyle w:val="Compact"/>
              <w:spacing w:before="40" w:after="40"/>
            </w:pPr>
            <w:r>
              <w:rPr>
                <w:rFonts w:ascii="Arial" w:hAnsi="Arial"/>
                <w:b/>
                <w:color w:val="0E6873"/>
                <w:sz w:val="18"/>
              </w:rPr>
              <w:t>INSTITUCIÓN EDUCATIVA:</w:t>
            </w:r>
          </w:p>
        </w:tc>
        <w:tc>
          <w:tcPr>
            <w:tcW w:w="6160" w:type="dxa"/>
            <w:shd w:val="clear" w:color="auto" w:fill="F2F7F7"/>
          </w:tcPr>
          <w:p>
            <w:pPr>
              <w:pStyle w:val="Compact"/>
              <w:spacing w:before="40" w:after="40"/>
            </w:pPr>
            <w:r>
              <w:rPr>
                <w:rFonts w:ascii="Arial" w:hAnsi="Arial"/>
                <w:color w:val="2D3748"/>
                <w:sz w:val="18"/>
              </w:rPr>
              <w:t>CURZAS · Universidad Nacional del Comahue</w:t>
            </w:r>
          </w:p>
        </w:tc>
      </w:tr>
      <w:tr>
        <w:trPr>
          <w:cantSplit/>
        </w:trPr>
        <w:tc>
          <w:tcPr>
            <w:tcW w:w="3200" w:type="dxa"/>
            <w:shd w:val="clear" w:color="auto" w:fill="F2F7F7"/>
          </w:tcPr>
          <w:p>
            <w:pPr>
              <w:pStyle w:val="Compact"/>
              <w:spacing w:before="40" w:after="40"/>
            </w:pPr>
            <w:r>
              <w:rPr>
                <w:rFonts w:ascii="Arial" w:hAnsi="Arial"/>
                <w:b/>
                <w:color w:val="0E6873"/>
                <w:sz w:val="18"/>
              </w:rPr>
              <w:t>ESPACIO CURRICULAR:</w:t>
            </w:r>
          </w:p>
        </w:tc>
        <w:tc>
          <w:tcPr>
            <w:tcW w:w="6160" w:type="dxa"/>
            <w:shd w:val="clear" w:color="auto" w:fill="F2F7F7"/>
          </w:tcPr>
          <w:p>
            <w:pPr>
              <w:pStyle w:val="Compact"/>
              <w:spacing w:before="40" w:after="40"/>
            </w:pPr>
            <w:r>
              <w:rPr>
                <w:rFonts w:ascii="Arial" w:hAnsi="Arial"/>
                <w:color w:val="2D3748"/>
                <w:sz w:val="18"/>
              </w:rPr>
              <w:t>Tecnología de la Información para la Gestión (TIG)</w:t>
            </w:r>
          </w:p>
        </w:tc>
      </w:tr>
      <w:tr>
        <w:trPr>
          <w:cantSplit/>
        </w:trPr>
        <w:tc>
          <w:tcPr>
            <w:tcW w:w="3200" w:type="dxa"/>
            <w:shd w:val="clear" w:color="auto" w:fill="F2F7F7"/>
          </w:tcPr>
          <w:p>
            <w:pPr>
              <w:pStyle w:val="Compact"/>
              <w:spacing w:before="40" w:after="40"/>
            </w:pPr>
            <w:r>
              <w:rPr>
                <w:rFonts w:ascii="Arial" w:hAnsi="Arial"/>
                <w:b/>
                <w:color w:val="0E6873"/>
                <w:sz w:val="18"/>
              </w:rPr>
              <w:t>ACTIVIDAD / TEMA:</w:t>
            </w:r>
          </w:p>
        </w:tc>
        <w:tc>
          <w:tcPr>
            <w:tcW w:w="6160" w:type="dxa"/>
            <w:shd w:val="clear" w:color="auto" w:fill="F2F7F7"/>
          </w:tcPr>
          <w:p>
            <w:pPr>
              <w:pStyle w:val="Compact"/>
              <w:spacing w:before="40" w:after="40"/>
            </w:pPr>
            <w:r>
              <w:rPr>
                <w:rFonts w:ascii="Arial" w:hAnsi="Arial"/>
                <w:color w:val="2D3748"/>
                <w:sz w:val="18"/>
              </w:rPr>
              <w:t>Actividad Práctica 4 · Tema 2: Nación - Neuquén</w:t>
            </w:r>
          </w:p>
        </w:tc>
      </w:tr>
      <w:tr>
        <w:trPr>
          <w:cantSplit/>
        </w:trPr>
        <w:tc>
          <w:tcPr>
            <w:tcW w:w="3200" w:type="dxa"/>
            <w:shd w:val="clear" w:color="auto" w:fill="F2F7F7"/>
          </w:tcPr>
          <w:p>
            <w:pPr>
              <w:pStyle w:val="Compact"/>
              <w:spacing w:before="40" w:after="40"/>
            </w:pPr>
            <w:r>
              <w:rPr>
                <w:rFonts w:ascii="Arial" w:hAnsi="Arial"/>
                <w:b/>
                <w:color w:val="0E6873"/>
                <w:sz w:val="18"/>
              </w:rPr>
              <w:t>ESTUDIANTES / AUTORES:</w:t>
            </w:r>
          </w:p>
        </w:tc>
        <w:tc>
          <w:tcPr>
            <w:tcW w:w="6160" w:type="dxa"/>
            <w:shd w:val="clear" w:color="auto" w:fill="F2F7F7"/>
          </w:tcPr>
          <w:p>
            <w:pPr>
              <w:pStyle w:val="Compact"/>
              <w:spacing w:before="40" w:after="40"/>
            </w:pPr>
            <w:r>
              <w:rPr>
                <w:rFonts w:ascii="Arial" w:hAnsi="Arial"/>
                <w:b/>
                <w:color w:val="153E5C"/>
                <w:sz w:val="18"/>
              </w:rPr>
              <w:t>Hector Daniel Ayarachi Fuentes · Andrea Alejandra Díaz</w:t>
            </w:r>
          </w:p>
        </w:tc>
      </w:tr>
      <w:tr>
        <w:trPr>
          <w:cantSplit/>
        </w:trPr>
        <w:tc>
          <w:tcPr>
            <w:tcW w:w="3200" w:type="dxa"/>
            <w:shd w:val="clear" w:color="auto" w:fill="F2F7F7"/>
          </w:tcPr>
          <w:p>
            <w:pPr>
              <w:pStyle w:val="Compact"/>
              <w:spacing w:before="40" w:after="40"/>
            </w:pPr>
            <w:r>
              <w:rPr>
                <w:rFonts w:ascii="Arial" w:hAnsi="Arial"/>
                <w:b/>
                <w:color w:val="0E6873"/>
                <w:sz w:val="18"/>
              </w:rPr>
              <w:t>FECHA DE PRESENTACIÓN:</w:t>
            </w:r>
          </w:p>
        </w:tc>
        <w:tc>
          <w:tcPr>
            <w:tcW w:w="6160" w:type="dxa"/>
            <w:shd w:val="clear" w:color="auto" w:fill="F2F7F7"/>
          </w:tcPr>
          <w:p>
            <w:pPr>
              <w:pStyle w:val="Compact"/>
              <w:spacing w:before="40" w:after="40"/>
            </w:pPr>
            <w:r>
              <w:rPr>
                <w:rFonts w:ascii="Arial" w:hAnsi="Arial"/>
                <w:color w:val="2D3748"/>
                <w:sz w:val="18"/>
              </w:rPr>
              <w:t>2 de Septiembre de 2026</w:t>
            </w:r>
          </w:p>
        </w:tc>
      </w:tr>
    </w:tbl>
    <w:p>
      <w:r>
        <w:br w:type="page"/>
      </w:r>
    </w:p>
    <w:bookmarkStart w:id="24" w:name="índice-general"/>
    <w:p>
      <w:pPr>
        <w:pStyle w:val="Heading1"/>
      </w:pPr>
      <w:r>
        <w:t xml:space="preserve">Índice General</w:t>
      </w:r>
    </w:p>
    <w:p xmlns:w="http://schemas.openxmlformats.org/wordprocessingml/2006/main">
      <w:pPr>
        <w:tabs>
          <w:tab w:val="right" w:leader="dot" w:pos="9360"/>
        </w:tabs>
        <w:spacing w:before="80" w:after="40"/>
      </w:pPr>
      <w:r>
        <w:rPr>
          <w:rFonts w:ascii="Arial" w:hAnsi="Arial"/>
          <w:sz w:val="21"/>
          <w:b/>
          <w:color w:val="1A365D"/>
        </w:rPr>
        <w:t>1. Introducción y Enfoque Metodológico</w:t>
      </w:r>
      <w:r>
        <w:tab/>
      </w:r>
      <w:r>
        <w:rPr>
          <w:rFonts w:ascii="Arial" w:hAnsi="Arial"/>
          <w:sz w:val="21"/>
          <w:color w:val="4A5568"/>
        </w:rPr>
        <w:t>2</w:t>
      </w:r>
    </w:p>
    <w:p xmlns:w="http://schemas.openxmlformats.org/wordprocessingml/2006/main">
      <w:pPr>
        <w:tabs>
          <w:tab w:val="right" w:leader="dot" w:pos="9360"/>
        </w:tabs>
        <w:spacing w:before="80" w:after="40"/>
      </w:pPr>
      <w:r>
        <w:rPr>
          <w:rFonts w:ascii="Arial" w:hAnsi="Arial"/>
          <w:sz w:val="21"/>
          <w:b/>
          <w:color w:val="1A365D"/>
        </w:rPr>
        <w:t>2. Descripción Analítica de los Portales Base</w:t>
      </w:r>
      <w:r>
        <w:tab/>
      </w:r>
      <w:r>
        <w:rPr>
          <w:rFonts w:ascii="Arial" w:hAnsi="Arial"/>
          <w:sz w:val="21"/>
          <w:color w:val="4A5568"/>
        </w:rPr>
        <w:t>2</w:t>
      </w:r>
    </w:p>
    <w:p xmlns:w="http://schemas.openxmlformats.org/wordprocessingml/2006/main">
      <w:pPr>
        <w:ind w:left="280"/>
        <w:tabs>
          <w:tab w:val="right" w:leader="dot" w:pos="9360"/>
        </w:tabs>
        <w:spacing w:before="30" w:after="30"/>
      </w:pPr>
      <w:r>
        <w:rPr>
          <w:rFonts w:ascii="Arial" w:hAnsi="Arial"/>
          <w:sz w:val="20"/>
          <w:color w:val="0E6873"/>
        </w:rPr>
        <w:t>2.1. Portal Nacional: Observatorio de la Administración Pública (INAP)</w:t>
      </w:r>
      <w:r>
        <w:tab/>
      </w:r>
      <w:r>
        <w:rPr>
          <w:rFonts w:ascii="Arial" w:hAnsi="Arial"/>
          <w:sz w:val="20"/>
          <w:color w:val="4A5568"/>
        </w:rPr>
        <w:t>3</w:t>
      </w:r>
    </w:p>
    <w:p xmlns:w="http://schemas.openxmlformats.org/wordprocessingml/2006/main">
      <w:pPr>
        <w:ind w:left="560"/>
        <w:tabs>
          <w:tab w:val="right" w:leader="dot" w:pos="9360"/>
        </w:tabs>
        <w:spacing w:before="20" w:after="20"/>
      </w:pPr>
      <w:r>
        <w:rPr>
          <w:rFonts w:ascii="Arial" w:hAnsi="Arial"/>
          <w:sz w:val="19"/>
          <w:color w:val="2D3748"/>
        </w:rPr>
        <w:t>A. Gobierno Digital</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B. País Digital</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C. Gobierno Abierto</w:t>
      </w:r>
      <w:r>
        <w:tab/>
      </w:r>
      <w:r>
        <w:rPr>
          <w:rFonts w:ascii="Arial" w:hAnsi="Arial"/>
          <w:sz w:val="19"/>
          <w:color w:val="4A5568"/>
        </w:rPr>
        <w:t>3</w:t>
      </w:r>
    </w:p>
    <w:p xmlns:w="http://schemas.openxmlformats.org/wordprocessingml/2006/main">
      <w:pPr>
        <w:ind w:left="560"/>
        <w:tabs>
          <w:tab w:val="right" w:leader="dot" w:pos="9360"/>
        </w:tabs>
        <w:spacing w:before="20" w:after="20"/>
      </w:pPr>
      <w:r>
        <w:rPr>
          <w:rFonts w:ascii="Arial" w:hAnsi="Arial"/>
          <w:sz w:val="19"/>
          <w:color w:val="2D3748"/>
        </w:rPr>
        <w:t>D. Gestión Integral del Empleo Público</w:t>
      </w:r>
      <w:r>
        <w:tab/>
      </w:r>
      <w:r>
        <w:rPr>
          <w:rFonts w:ascii="Arial" w:hAnsi="Arial"/>
          <w:sz w:val="19"/>
          <w:color w:val="4A5568"/>
        </w:rPr>
        <w:t>4</w:t>
      </w:r>
    </w:p>
    <w:p xmlns:w="http://schemas.openxmlformats.org/wordprocessingml/2006/main">
      <w:pPr>
        <w:ind w:left="280"/>
        <w:tabs>
          <w:tab w:val="right" w:leader="dot" w:pos="9360"/>
        </w:tabs>
        <w:spacing w:before="30" w:after="30"/>
      </w:pPr>
      <w:r>
        <w:rPr>
          <w:rFonts w:ascii="Arial" w:hAnsi="Arial"/>
          <w:sz w:val="20"/>
          <w:color w:val="0E6873"/>
        </w:rPr>
        <w:t>2.2. Portal Subnacional: Secretaría de Modernización (Ciudad de Neuquén)</w:t>
      </w:r>
      <w:r>
        <w:tab/>
      </w:r>
      <w:r>
        <w:rPr>
          <w:rFonts w:ascii="Arial" w:hAnsi="Arial"/>
          <w:sz w:val="20"/>
          <w:color w:val="4A5568"/>
        </w:rPr>
        <w:t>4</w:t>
      </w:r>
    </w:p>
    <w:p xmlns:w="http://schemas.openxmlformats.org/wordprocessingml/2006/main">
      <w:pPr>
        <w:tabs>
          <w:tab w:val="right" w:leader="dot" w:pos="9360"/>
        </w:tabs>
        <w:spacing w:before="80" w:after="40"/>
      </w:pPr>
      <w:r>
        <w:rPr>
          <w:rFonts w:ascii="Arial" w:hAnsi="Arial"/>
          <w:sz w:val="21"/>
          <w:b/>
          <w:color w:val="1A365D"/>
        </w:rPr>
        <w:t>3. Análisis Comparativo Multidimensional: Nación vs. Neuquén</w:t>
      </w:r>
      <w:r>
        <w:tab/>
      </w:r>
      <w:r>
        <w:rPr>
          <w:rFonts w:ascii="Arial" w:hAnsi="Arial"/>
          <w:sz w:val="21"/>
          <w:color w:val="4A5568"/>
        </w:rPr>
        <w:t>5</w:t>
      </w:r>
    </w:p>
    <w:p xmlns:w="http://schemas.openxmlformats.org/wordprocessingml/2006/main">
      <w:pPr>
        <w:ind w:left="280"/>
        <w:tabs>
          <w:tab w:val="right" w:leader="dot" w:pos="9360"/>
        </w:tabs>
        <w:spacing w:before="30" w:after="30"/>
      </w:pPr>
      <w:r>
        <w:rPr>
          <w:rFonts w:ascii="Arial" w:hAnsi="Arial"/>
          <w:sz w:val="20"/>
          <w:color w:val="0E6873"/>
        </w:rPr>
        <w:t>3.1. Convergencias y Puntos de Encuentro</w:t>
      </w:r>
      <w:r>
        <w:tab/>
      </w:r>
      <w:r>
        <w:rPr>
          <w:rFonts w:ascii="Arial" w:hAnsi="Arial"/>
          <w:sz w:val="20"/>
          <w:color w:val="4A5568"/>
        </w:rPr>
        <w:t>6</w:t>
      </w:r>
    </w:p>
    <w:p xmlns:w="http://schemas.openxmlformats.org/wordprocessingml/2006/main">
      <w:pPr>
        <w:ind w:left="280"/>
        <w:tabs>
          <w:tab w:val="right" w:leader="dot" w:pos="9360"/>
        </w:tabs>
        <w:spacing w:before="30" w:after="30"/>
      </w:pPr>
      <w:r>
        <w:rPr>
          <w:rFonts w:ascii="Arial" w:hAnsi="Arial"/>
          <w:sz w:val="20"/>
          <w:color w:val="0E6873"/>
        </w:rPr>
        <w:t>3.2. Asimetrías y Desafíos de Integración Federal</w:t>
      </w:r>
      <w:r>
        <w:tab/>
      </w:r>
      <w:r>
        <w:rPr>
          <w:rFonts w:ascii="Arial" w:hAnsi="Arial"/>
          <w:sz w:val="20"/>
          <w:color w:val="4A5568"/>
        </w:rPr>
        <w:t>6</w:t>
      </w:r>
    </w:p>
    <w:p xmlns:w="http://schemas.openxmlformats.org/wordprocessingml/2006/main">
      <w:pPr>
        <w:tabs>
          <w:tab w:val="right" w:leader="dot" w:pos="9360"/>
        </w:tabs>
        <w:spacing w:before="80" w:after="40"/>
      </w:pPr>
      <w:r>
        <w:rPr>
          <w:rFonts w:ascii="Arial" w:hAnsi="Arial"/>
          <w:sz w:val="21"/>
          <w:b/>
          <w:color w:val="1A365D"/>
        </w:rPr>
        <w:t>4. Conclusiones y Recomendaciones de Política Pública</w:t>
      </w:r>
      <w:r>
        <w:tab/>
      </w:r>
      <w:r>
        <w:rPr>
          <w:rFonts w:ascii="Arial" w:hAnsi="Arial"/>
          <w:sz w:val="21"/>
          <w:color w:val="4A5568"/>
        </w:rPr>
        <w:t>7</w:t>
      </w:r>
    </w:p>
    <w:p xmlns:w="http://schemas.openxmlformats.org/wordprocessingml/2006/main">
      <w:pPr>
        <w:tabs>
          <w:tab w:val="right" w:leader="dot" w:pos="9360"/>
        </w:tabs>
        <w:spacing w:before="80" w:after="40"/>
      </w:pPr>
      <w:r>
        <w:rPr>
          <w:rFonts w:ascii="Arial" w:hAnsi="Arial"/>
          <w:sz w:val="21"/>
          <w:b/>
          <w:color w:val="1A365D"/>
        </w:rPr>
        <w:t>5. Referencias Bibliográficas y Fuentes Oficiales</w:t>
      </w:r>
      <w:r>
        <w:tab/>
      </w:r>
      <w:r>
        <w:rPr>
          <w:rFonts w:ascii="Arial" w:hAnsi="Arial"/>
          <w:sz w:val="21"/>
          <w:color w:val="4A5568"/>
        </w:rPr>
        <w:t>8</w:t>
      </w:r>
    </w:p>
    <w:p>
      <w:r>
        <w:br w:type="page"/>
      </w:r>
    </w:p>
    <w:bookmarkEnd w:id="24"/>
    <w:bookmarkStart w:id="25" w:name="introducción-y-enfoque-metodológico"/>
    <w:p>
      <w:pPr>
        <w:pStyle w:val="Heading1"/>
      </w:pPr>
      <w:r>
        <w:t xml:space="preserve">1. Introducción y Enfoque Metodológico</w:t>
      </w:r>
    </w:p>
    <w:p>
      <w:pPr>
        <w:pStyle w:val="FirstParagraph"/>
      </w:pPr>
      <w:r>
        <w:t xml:space="preserve">La transformación digital del sector público constituye uno de los procesos contemporáneos de mayor relevancia para el fortalecimiento de la gobernabilidad democrática, la transparencia institucional y la eficiencia en la asignación de recursos públicos. Lejos de reducirse a la simple digitalización de expedientes físicos o a la adquisición masiva de hardware, la modernización del Estado implica un cambio de paradigma organizacional y cultural en el cual las</w:t>
      </w:r>
      <w:r>
        <w:t xml:space="preserve"> </w:t>
      </w:r>
      <w:r>
        <w:rPr>
          <w:b/>
          <w:bCs/>
        </w:rPr>
        <w:t xml:space="preserve">Tecnologías de la Información y la Comunicación (TICs)</w:t>
      </w:r>
      <w:r>
        <w:t xml:space="preserve"> </w:t>
      </w:r>
      <w:r>
        <w:t xml:space="preserve">actúan como habilitadores estratégicos orientados a resolver las demandas ciudadanas con mayor agilidad, cercanía y trazabilidad.</w:t>
      </w:r>
    </w:p>
    <w:p>
      <w:pPr>
        <w:pStyle w:val="BodyText"/>
      </w:pPr>
      <w:r>
        <w:t xml:space="preserve">En el marco de la cátedra</w:t>
      </w:r>
      <w:r>
        <w:t xml:space="preserve"> </w:t>
      </w:r>
      <w:r>
        <w:rPr>
          <w:i/>
          <w:iCs/>
        </w:rPr>
        <w:t xml:space="preserve">Tecnología de la Información para la Gestión (TIG)</w:t>
      </w:r>
      <w:r>
        <w:t xml:space="preserve"> </w:t>
      </w:r>
      <w:r>
        <w:t xml:space="preserve">del CURZAS (Universidad Nacional del Comahue), el presente informe aborda el</w:t>
      </w:r>
      <w:r>
        <w:t xml:space="preserve"> </w:t>
      </w:r>
      <w:r>
        <w:rPr>
          <w:b/>
          <w:bCs/>
        </w:rPr>
        <w:t xml:space="preserve">Tema 2</w:t>
      </w:r>
      <w:r>
        <w:t xml:space="preserve"> </w:t>
      </w:r>
      <w:r>
        <w:t xml:space="preserve">propuesto en las consignas de la Actividad Práctica 4:</w:t>
      </w:r>
      <w:r>
        <w:t xml:space="preserve"> </w:t>
      </w:r>
      <w:r>
        <w:rPr>
          <w:b/>
          <w:bCs/>
        </w:rPr>
        <w:t xml:space="preserve">Nación - Neuquén</w:t>
      </w:r>
      <w:r>
        <w:t xml:space="preserve">.</w:t>
      </w:r>
    </w:p>
    <w:tbl xmlns:w="http://schemas.openxmlformats.org/wordprocessingml/2006/main">
      <w:tblPr>
        <w:tblW w:w="5000" w:type="pct"/>
        <w:tblLayout w:type="fixed"/>
        <w:tblBorders>
          <w:top w:val="single" w:sz="4" w:space="0" w:color="CBD5E1"/>
          <w:left w:val="single" w:sz="24" w:space="0" w:color="0E6873"/>
          <w:bottom w:val="single" w:sz="4" w:space="0" w:color="CBD5E1"/>
          <w:right w:val="single" w:sz="4" w:space="0" w:color="CBD5E1"/>
          <w:insideH w:val="none"/>
          <w:insideV w:val="none"/>
        </w:tblBorders>
        <w:tblCellMar>
          <w:top w:w="140" w:type="dxa"/>
          <w:left w:w="200" w:type="dxa"/>
          <w:bottom w:w="140" w:type="dxa"/>
          <w:right w:w="200" w:type="dxa"/>
        </w:tblCellMar>
      </w:tblPr>
      <w:tblGrid>
        <w:gridCol w:w="9360"/>
      </w:tblGrid>
      <w:tr>
        <w:trPr>
          <w:cantSplit/>
        </w:trPr>
        <w:tc>
          <w:tcPr>
            <w:tcW w:w="9360" w:type="dxa"/>
            <w:shd w:val="clear" w:color="auto" w:fill="F2F7F7"/>
          </w:tcPr>
          <w:p>
            <w:pPr>
              <w:pStyle w:val="Compact"/>
              <w:spacing w:before="40" w:after="80"/>
            </w:pPr>
            <w:r>
              <w:rPr>
                <w:rFonts w:ascii="Arial" w:hAnsi="Arial"/>
                <w:b/>
                <w:color w:val="0E6873"/>
                <w:sz w:val="20"/>
              </w:rPr>
              <w:t>OBJETIVO ACADÉMICO</w:t>
            </w:r>
          </w:p>
          <w:p>
            <w:pPr>
              <w:pStyle w:val="Compact"/>
              <w:spacing w:before="40" w:after="40" w:line="276" w:lineRule="auto"/>
            </w:pPr>
            <w:r>
              <w:rPr>
                <w:rFonts w:ascii="Arial" w:hAnsi="Arial"/>
                <w:color w:val="2D3748"/>
                <w:sz w:val="19"/>
              </w:rPr>
              <w:t>Investigar, describir y analizar críticamente los portales gubernamentales de referencia (INAP Nación y Secretaría de Modernización de Neuquén Capital), estructurando una matriz comparativa multidimensional rigurosa entre las directrices estratégicas de la Administración Pública Nacional y las iniciativas subnacionales de proximidad ciudadana implementadas en la capital neuquina.</w:t>
            </w:r>
          </w:p>
        </w:tc>
      </w:tr>
    </w:tbl>
    <w:p>
      <w:pPr>
        <w:pStyle w:val="BodyText"/>
      </w:pPr>
      <w:r>
        <w:t xml:space="preserve">La selección del binomio</w:t>
      </w:r>
      <w:r>
        <w:t xml:space="preserve"> </w:t>
      </w:r>
      <w:r>
        <w:rPr>
          <w:b/>
          <w:bCs/>
        </w:rPr>
        <w:t xml:space="preserve">Nación - Neuquén</w:t>
      </w:r>
      <w:r>
        <w:t xml:space="preserve"> </w:t>
      </w:r>
      <w:r>
        <w:t xml:space="preserve">reviste un particular interés para la gestión pública por dos razones fundamentales:</w:t>
      </w:r>
    </w:p>
    <w:p>
      <w:pPr>
        <w:pStyle w:val="Compact"/>
        <w:numPr>
          <w:ilvl w:val="0"/>
          <w:numId w:val="1001"/>
        </w:numPr>
      </w:pPr>
      <w:r>
        <w:rPr>
          <w:b/>
          <w:bCs/>
        </w:rPr>
        <w:t xml:space="preserve">Articulación Multinivel (Federal vs. Local):</w:t>
      </w:r>
      <w:r>
        <w:t xml:space="preserve"> </w:t>
      </w:r>
      <w:r>
        <w:t xml:space="preserve">Permite contrastar una visión nacional orientada al establecimiento de marcos normativos macro, estándares rectores de interoperabilidad y observatorios de investigación (INAP), frente a una gestión local y municipal orientada a la prestación directa e inmediata de servicios al vecino, la digitalización de trámites territoriales y la construcción de un ecosistema urbano inteligente (</w:t>
      </w:r>
      <w:r>
        <w:rPr>
          <w:i/>
          <w:iCs/>
        </w:rPr>
        <w:t xml:space="preserve">Smart City</w:t>
      </w:r>
      <w:r>
        <w:t xml:space="preserve">).</w:t>
      </w:r>
    </w:p>
    <w:p>
      <w:pPr>
        <w:pStyle w:val="Compact"/>
        <w:numPr>
          <w:ilvl w:val="0"/>
          <w:numId w:val="1001"/>
        </w:numPr>
      </w:pPr>
      <w:r>
        <w:rPr>
          <w:b/>
          <w:bCs/>
        </w:rPr>
        <w:t xml:space="preserve">Contexto Regional Norpatagónico:</w:t>
      </w:r>
      <w:r>
        <w:t xml:space="preserve"> </w:t>
      </w:r>
      <w:r>
        <w:t xml:space="preserve">Neuquén conforma el epicentro socioeconómico de la cuenca neuquina y la región del Comahue, donde el crecimiento demográfico acelerado demanda una administración municipal capaz de responder con infraestructura digital, agilidad en trámites comerciales y simplificación tributaria.</w:t>
      </w:r>
    </w:p>
    <w:bookmarkEnd w:id="25"/>
    <w:bookmarkStart w:id="35" w:name="Xa49fc4bd288921ae91dbbf9eb9972d02dab9c0f"/>
    <w:p>
      <w:pPr>
        <w:pStyle w:val="Heading1"/>
      </w:pPr>
      <w:r>
        <w:t xml:space="preserve">2. Descripción Analítica de los Portales Base</w:t>
      </w:r>
    </w:p>
    <w:p>
      <w:pPr>
        <w:pStyle w:val="FirstParagraph"/>
      </w:pPr>
      <w:r>
        <w:t xml:space="preserve">A partir de los enlaces oficiales provistos en la consigna docente, se procedió a relevar, inspeccionar y categorizar los componentes estructurales, funcionales e informacionales de ambos sitios web.</w:t>
      </w:r>
    </w:p>
    <w:bookmarkStart w:id="31" w:name="Xa5c82427a9ddb599581c4c3b7cfcf01ab3140fe"/>
    <w:p>
      <w:pPr>
        <w:pStyle w:val="Heading2"/>
      </w:pPr>
      <w:r>
        <w:t xml:space="preserve">2.1. Portal Nacional: Observatorio de la Administración Pública (INAP)</w:t>
      </w:r>
    </w:p>
    <w:tbl xmlns:w="http://schemas.openxmlformats.org/wordprocessingml/2006/main">
      <w:tblPr>
        <w:tblW w:w="5000" w:type="pct"/>
        <w:tblLayout w:type="fixed"/>
        <w:tblBorders>
          <w:top w:val="single" w:sz="4" w:space="0" w:color="CBD5E1"/>
          <w:left w:val="single" w:sz="20" w:space="0" w:color="0E6873"/>
          <w:bottom w:val="single" w:sz="4" w:space="0" w:color="CBD5E1"/>
          <w:right w:val="single" w:sz="4" w:space="0" w:color="CBD5E1"/>
          <w:insideH w:val="single" w:sz="4" w:space="0" w:color="E2E8F0"/>
          <w:insideV w:val="none"/>
        </w:tblBorders>
        <w:tblCellMar>
          <w:top w:w="100" w:type="dxa"/>
          <w:left w:w="160" w:type="dxa"/>
          <w:bottom w:w="100" w:type="dxa"/>
          <w:right w:w="160" w:type="dxa"/>
        </w:tblCellMar>
      </w:tblPr>
      <w:tblGrid>
        <w:gridCol w:w="2200"/>
        <w:gridCol w:w="7160"/>
      </w:tblGrid>
      <w:tr>
        <w:trPr>
          <w:cantSplit/>
        </w:trPr>
        <w:tc>
          <w:tcPr>
            <w:tcW w:w="2200" w:type="dxa"/>
            <w:shd w:val="clear" w:color="auto" w:fill="F2F7F7"/>
          </w:tcPr>
          <w:p>
            <w:pPr>
              <w:pStyle w:val="Compact"/>
              <w:jc w:val="left"/>
              <w:spacing w:before="30" w:after="30"/>
            </w:pPr>
            <w:r>
              <w:rPr>
                <w:rFonts w:ascii="Arial" w:hAnsi="Arial"/>
                <w:b/>
                <w:color w:val="0E6873"/>
                <w:sz w:val="18"/>
              </w:rPr>
              <w:t>Fuente Oficial:</w:t>
            </w:r>
          </w:p>
        </w:tc>
        <w:tc>
          <w:tcPr>
            <w:tcW w:w="7160" w:type="dxa"/>
            <w:shd w:val="clear" w:color="auto" w:fill="F2F7F7"/>
          </w:tcPr>
          <w:p>
            <w:pPr>
              <w:pStyle w:val="Compact"/>
              <w:jc w:val="left"/>
              <w:spacing w:before="30" w:after="30"/>
            </w:pPr>
            <w:r>
              <w:rPr>
                <w:rFonts w:ascii="Arial" w:hAnsi="Arial"/>
                <w:color w:val="2D3748"/>
                <w:sz w:val="18"/>
              </w:rPr>
              <w:t>Ministerio de Desregulación y Transformación del Estado · Instituto Nacional de la Administración Pública (INAP)</w:t>
            </w:r>
          </w:p>
        </w:tc>
      </w:tr>
      <w:tr>
        <w:trPr>
          <w:cantSplit/>
        </w:trPr>
        <w:tc>
          <w:tcPr>
            <w:tcW w:w="2200" w:type="dxa"/>
            <w:shd w:val="clear" w:color="auto" w:fill="F2F7F7"/>
          </w:tcPr>
          <w:p>
            <w:pPr>
              <w:pStyle w:val="Compact"/>
              <w:jc w:val="left"/>
              <w:spacing w:before="30" w:after="30"/>
            </w:pPr>
            <w:r>
              <w:rPr>
                <w:rFonts w:ascii="Arial" w:hAnsi="Arial"/>
                <w:b/>
                <w:color w:val="0E6873"/>
                <w:sz w:val="18"/>
              </w:rPr>
              <w:t>Enlace de acceso:</w:t>
            </w:r>
          </w:p>
        </w:tc>
        <w:tc>
          <w:tcPr>
            <w:tcW w:w="7160" w:type="dxa"/>
            <w:shd w:val="clear" w:color="auto" w:fill="F2F7F7"/>
          </w:tcPr>
          <w:p>
            <w:pPr>
              <w:pStyle w:val="Compact"/>
              <w:jc w:val="left"/>
              <w:spacing w:before="30" w:after="30"/>
            </w:pPr>
            <w:r>
              <w:rPr>
                <w:rFonts w:ascii="Arial" w:hAnsi="Arial"/>
                <w:u w:val="single"/>
                <w:color w:val="0550AE"/>
                <w:sz w:val="17"/>
              </w:rPr>
              <w:t>https://www.argentina.gob.ar/modernizacion/inap/observatorio/lineas-investigacion/modernizacion-del-estado</w:t>
            </w:r>
          </w:p>
        </w:tc>
      </w:tr>
    </w:tbl>
    <w:p>
      <w:pPr>
        <w:pStyle w:val="FirstParagraph"/>
      </w:pPr>
      <w:r>
        <w:t xml:space="preserve">El portal nacional analizado corresponde a la sección de</w:t>
      </w:r>
      <w:r>
        <w:t xml:space="preserve"> </w:t>
      </w:r>
      <w:r>
        <w:rPr>
          <w:b/>
          <w:bCs/>
        </w:rPr>
        <w:t xml:space="preserve">Líneas de Investigación en Modernización del Estado</w:t>
      </w:r>
      <w:r>
        <w:t xml:space="preserve"> </w:t>
      </w:r>
      <w:r>
        <w:t xml:space="preserve">del</w:t>
      </w:r>
      <w:r>
        <w:t xml:space="preserve"> </w:t>
      </w:r>
      <w:r>
        <w:rPr>
          <w:i/>
          <w:iCs/>
        </w:rPr>
        <w:t xml:space="preserve">Observatorio de la Administración Pública</w:t>
      </w:r>
      <w:r>
        <w:t xml:space="preserve">, organismo dependiente del Instituto Nacional de la Administración Pública (INAP)</w:t>
      </w:r>
      <w:r>
        <w:rPr>
          <w:rStyle w:val="FootnoteReference"/>
        </w:rPr>
        <w:footnoteReference w:id="26"/>
      </w:r>
      <w:r>
        <w:t xml:space="preserve">, actualmente bajo la órbita de la Secretaría de Transformación del Estado y Función Pública (Ministerio de Desregulación y Transformación del Estado).</w:t>
      </w:r>
    </w:p>
    <w:p>
      <w:pPr>
        <w:pStyle w:val="BodyText"/>
      </w:pPr>
      <w:r>
        <w:t xml:space="preserve">A diferencia de un portal transaccional de trámites, este espacio cumple una función eminentemente analítica, conceptual y de monitoreo de políticas públicas. Su propósito medular es brindar una propuesta metodológica de dimensiones e indicadores empíricos que permitan evaluar el avance de la modernización estatal en Argentina. El portal organiza su esquema de trabajo en cuatro dimensiones fundamentales:</w:t>
      </w:r>
    </w:p>
    <w:bookmarkStart w:id="27" w:name="a.-gobierno-digital"/>
    <w:p>
      <w:pPr>
        <w:pStyle w:val="Heading3"/>
      </w:pPr>
      <w:r>
        <w:t xml:space="preserve">A. Gobierno Digital</w:t>
      </w:r>
    </w:p>
    <w:p>
      <w:pPr>
        <w:pStyle w:val="FirstParagraph"/>
      </w:pPr>
      <w:r>
        <w:t xml:space="preserve">Enfocado en la capacidad del aparato estatal para operar en entornos digitales integrados:</w:t>
      </w:r>
      <w:r>
        <w:t xml:space="preserve"> </w:t>
      </w:r>
      <w:r>
        <w:t xml:space="preserve">1.</w:t>
      </w:r>
      <w:r>
        <w:t xml:space="preserve"> </w:t>
      </w:r>
      <w:r>
        <w:rPr>
          <w:b/>
          <w:bCs/>
        </w:rPr>
        <w:t xml:space="preserve">Interoperabilidad:</w:t>
      </w:r>
      <w:r>
        <w:t xml:space="preserve"> </w:t>
      </w:r>
      <w:r>
        <w:t xml:space="preserve">Capacidad técnica y normativa para que diferentes organismos compartan información sin redundancias.</w:t>
      </w:r>
      <w:r>
        <w:t xml:space="preserve"> </w:t>
      </w:r>
      <w:r>
        <w:t xml:space="preserve">2.</w:t>
      </w:r>
      <w:r>
        <w:t xml:space="preserve"> </w:t>
      </w:r>
      <w:r>
        <w:rPr>
          <w:b/>
          <w:bCs/>
        </w:rPr>
        <w:t xml:space="preserve">Coordinación y Cooperación:</w:t>
      </w:r>
      <w:r>
        <w:t xml:space="preserve"> </w:t>
      </w:r>
      <w:r>
        <w:t xml:space="preserve">Redes interministeriales y federales de gestión pública.</w:t>
      </w:r>
      <w:r>
        <w:t xml:space="preserve"> </w:t>
      </w:r>
      <w:r>
        <w:t xml:space="preserve">3.</w:t>
      </w:r>
      <w:r>
        <w:t xml:space="preserve"> </w:t>
      </w:r>
      <w:r>
        <w:rPr>
          <w:b/>
          <w:bCs/>
        </w:rPr>
        <w:t xml:space="preserve">Diseño Institucional:</w:t>
      </w:r>
      <w:r>
        <w:t xml:space="preserve"> </w:t>
      </w:r>
      <w:r>
        <w:t xml:space="preserve">Mapeo de transacciones, cobertura geográfica y volumen de trámites digitales.</w:t>
      </w:r>
    </w:p>
    <w:bookmarkEnd w:id="27"/>
    <w:bookmarkStart w:id="28" w:name="b.-país-digital"/>
    <w:p>
      <w:pPr>
        <w:pStyle w:val="Heading3"/>
      </w:pPr>
      <w:r>
        <w:t xml:space="preserve">B. País Digital</w:t>
      </w:r>
    </w:p>
    <w:p>
      <w:pPr>
        <w:pStyle w:val="FirstParagraph"/>
      </w:pPr>
      <w:r>
        <w:t xml:space="preserve">Orientado a reducir la brecha digital territorial y garantizar la equidad de acceso:</w:t>
      </w:r>
      <w:r>
        <w:t xml:space="preserve"> </w:t>
      </w:r>
      <w:r>
        <w:t xml:space="preserve">1.</w:t>
      </w:r>
      <w:r>
        <w:t xml:space="preserve"> </w:t>
      </w:r>
      <w:r>
        <w:rPr>
          <w:b/>
          <w:bCs/>
        </w:rPr>
        <w:t xml:space="preserve">Cobertura Geográfica:</w:t>
      </w:r>
      <w:r>
        <w:t xml:space="preserve"> </w:t>
      </w:r>
      <w:r>
        <w:t xml:space="preserve">Puntos de acceso Wi-Fi público y tendido de conectividad troncal.</w:t>
      </w:r>
      <w:r>
        <w:t xml:space="preserve"> </w:t>
      </w:r>
      <w:r>
        <w:t xml:space="preserve">2.</w:t>
      </w:r>
      <w:r>
        <w:t xml:space="preserve"> </w:t>
      </w:r>
      <w:r>
        <w:rPr>
          <w:b/>
          <w:bCs/>
        </w:rPr>
        <w:t xml:space="preserve">Equipamiento e Inclusión:</w:t>
      </w:r>
      <w:r>
        <w:t xml:space="preserve"> </w:t>
      </w:r>
      <w:r>
        <w:t xml:space="preserve">Ratios de computadoras y teléfonos móviles por habitante.</w:t>
      </w:r>
      <w:r>
        <w:t xml:space="preserve"> </w:t>
      </w:r>
      <w:r>
        <w:t xml:space="preserve">3.</w:t>
      </w:r>
      <w:r>
        <w:t xml:space="preserve"> </w:t>
      </w:r>
      <w:r>
        <w:rPr>
          <w:b/>
          <w:bCs/>
        </w:rPr>
        <w:t xml:space="preserve">Nivel de Uso y Digitalización:</w:t>
      </w:r>
      <w:r>
        <w:t xml:space="preserve"> </w:t>
      </w:r>
      <w:r>
        <w:t xml:space="preserve">Apropiación comunitaria de las tecnologías.</w:t>
      </w:r>
    </w:p>
    <w:bookmarkEnd w:id="28"/>
    <w:bookmarkStart w:id="29" w:name="c.-gobierno-abierto"/>
    <w:p>
      <w:pPr>
        <w:pStyle w:val="Heading3"/>
      </w:pPr>
      <w:r>
        <w:t xml:space="preserve">C. Gobierno Abierto</w:t>
      </w:r>
    </w:p>
    <w:p>
      <w:pPr>
        <w:pStyle w:val="FirstParagraph"/>
      </w:pPr>
      <w:r>
        <w:t xml:space="preserve">Centrado en la democratización del acceso a los asuntos públicos:</w:t>
      </w:r>
      <w:r>
        <w:t xml:space="preserve"> </w:t>
      </w:r>
      <w:r>
        <w:t xml:space="preserve">1.</w:t>
      </w:r>
      <w:r>
        <w:t xml:space="preserve"> </w:t>
      </w:r>
      <w:r>
        <w:rPr>
          <w:b/>
          <w:bCs/>
        </w:rPr>
        <w:t xml:space="preserve">Relación Estado y Sociedad Civil:</w:t>
      </w:r>
      <w:r>
        <w:t xml:space="preserve"> </w:t>
      </w:r>
      <w:r>
        <w:t xml:space="preserve">Mecanismos de co-creación y participación ciudadana.</w:t>
      </w:r>
      <w:r>
        <w:t xml:space="preserve"> </w:t>
      </w:r>
      <w:r>
        <w:t xml:space="preserve">2.</w:t>
      </w:r>
      <w:r>
        <w:t xml:space="preserve"> </w:t>
      </w:r>
      <w:r>
        <w:rPr>
          <w:b/>
          <w:bCs/>
        </w:rPr>
        <w:t xml:space="preserve">Marcos Normativos:</w:t>
      </w:r>
      <w:r>
        <w:t xml:space="preserve"> </w:t>
      </w:r>
      <w:r>
        <w:t xml:space="preserve">Cumplimiento de la Carta Iberoamericana de Gobierno Abierto.</w:t>
      </w:r>
      <w:r>
        <w:t xml:space="preserve"> </w:t>
      </w:r>
      <w:r>
        <w:t xml:space="preserve">3.</w:t>
      </w:r>
      <w:r>
        <w:t xml:space="preserve"> </w:t>
      </w:r>
      <w:r>
        <w:rPr>
          <w:b/>
          <w:bCs/>
        </w:rPr>
        <w:t xml:space="preserve">Compromisos Internacionales:</w:t>
      </w:r>
      <w:r>
        <w:t xml:space="preserve"> </w:t>
      </w:r>
      <w:r>
        <w:t xml:space="preserve">Alianza para el Gobierno Abierto (OGP) y estándares de la OCDE.</w:t>
      </w:r>
    </w:p>
    <w:bookmarkEnd w:id="29"/>
    <w:bookmarkStart w:id="30" w:name="d.-modernización-administrativa"/>
    <w:p>
      <w:pPr>
        <w:pStyle w:val="Heading3"/>
      </w:pPr>
      <w:r>
        <w:t xml:space="preserve">D. Modernización Administrativa</w:t>
      </w:r>
    </w:p>
    <w:p>
      <w:pPr>
        <w:pStyle w:val="FirstParagraph"/>
      </w:pPr>
      <w:r>
        <w:t xml:space="preserve">Dirigido a la reingeniería interna y la eficiencia procedimental:</w:t>
      </w:r>
      <w:r>
        <w:t xml:space="preserve"> </w:t>
      </w:r>
      <w:r>
        <w:t xml:space="preserve">1.</w:t>
      </w:r>
      <w:r>
        <w:t xml:space="preserve"> </w:t>
      </w:r>
      <w:r>
        <w:rPr>
          <w:b/>
          <w:bCs/>
        </w:rPr>
        <w:t xml:space="preserve">Gestión Documental Electrónica (GDE):</w:t>
      </w:r>
      <w:r>
        <w:t xml:space="preserve"> </w:t>
      </w:r>
      <w:r>
        <w:t xml:space="preserve">Despapelización de expedientes y actos administrativos.</w:t>
      </w:r>
      <w:r>
        <w:t xml:space="preserve"> </w:t>
      </w:r>
      <w:r>
        <w:t xml:space="preserve">2.</w:t>
      </w:r>
      <w:r>
        <w:t xml:space="preserve"> </w:t>
      </w:r>
      <w:r>
        <w:rPr>
          <w:b/>
          <w:bCs/>
        </w:rPr>
        <w:t xml:space="preserve">Trazabilidad Documental:</w:t>
      </w:r>
      <w:r>
        <w:t xml:space="preserve"> </w:t>
      </w:r>
      <w:r>
        <w:t xml:space="preserve">Métricas sobre cantidad de documentos y firmas electrónicas.</w:t>
      </w:r>
      <w:r>
        <w:t xml:space="preserve"> </w:t>
      </w:r>
      <w:r>
        <w:t xml:space="preserve">3.</w:t>
      </w:r>
      <w:r>
        <w:t xml:space="preserve"> </w:t>
      </w:r>
      <w:r>
        <w:rPr>
          <w:b/>
          <w:bCs/>
        </w:rPr>
        <w:t xml:space="preserve">Tiempos de Resolución:</w:t>
      </w:r>
      <w:r>
        <w:t xml:space="preserve"> </w:t>
      </w:r>
      <w:r>
        <w:t xml:space="preserve">Reducción de plazos en expedientes y simplificación regulatoria.</w:t>
      </w:r>
    </w:p>
    <w:bookmarkEnd w:id="30"/>
    <w:bookmarkEnd w:id="31"/>
    <w:bookmarkStart w:id="34" w:name="X013c73fae7f3aa0602c2e491ca5006f1744f568"/>
    <w:p>
      <w:pPr>
        <w:pStyle w:val="Heading2"/>
      </w:pPr>
      <w:r>
        <w:t xml:space="preserve">2.2. Portal Subnacional: Secretaría de Modernización (Ciudad de Neuquén)</w:t>
      </w:r>
    </w:p>
    <w:tbl xmlns:w="http://schemas.openxmlformats.org/wordprocessingml/2006/main">
      <w:tblPr>
        <w:tblW w:w="5000" w:type="pct"/>
        <w:tblLayout w:type="fixed"/>
        <w:tblBorders>
          <w:top w:val="single" w:sz="4" w:space="0" w:color="CBD5E1"/>
          <w:left w:val="single" w:sz="20" w:space="0" w:color="0E6873"/>
          <w:bottom w:val="single" w:sz="4" w:space="0" w:color="CBD5E1"/>
          <w:right w:val="single" w:sz="4" w:space="0" w:color="CBD5E1"/>
          <w:insideH w:val="single" w:sz="4" w:space="0" w:color="E2E8F0"/>
          <w:insideV w:val="none"/>
        </w:tblBorders>
        <w:tblCellMar>
          <w:top w:w="100" w:type="dxa"/>
          <w:left w:w="160" w:type="dxa"/>
          <w:bottom w:w="100" w:type="dxa"/>
          <w:right w:w="160" w:type="dxa"/>
        </w:tblCellMar>
      </w:tblPr>
      <w:tblGrid>
        <w:gridCol w:w="2200"/>
        <w:gridCol w:w="7160"/>
      </w:tblGrid>
      <w:tr>
        <w:trPr>
          <w:cantSplit/>
        </w:trPr>
        <w:tc>
          <w:tcPr>
            <w:tcW w:w="2200" w:type="dxa"/>
            <w:shd w:val="clear" w:color="auto" w:fill="F2F7F7"/>
          </w:tcPr>
          <w:p>
            <w:pPr>
              <w:pStyle w:val="Compact"/>
              <w:jc w:val="left"/>
              <w:spacing w:before="30" w:after="30"/>
            </w:pPr>
            <w:r>
              <w:rPr>
                <w:rFonts w:ascii="Arial" w:hAnsi="Arial"/>
                <w:b/>
                <w:color w:val="0E6873"/>
                <w:sz w:val="18"/>
              </w:rPr>
              <w:t>Fuente Oficial:</w:t>
            </w:r>
          </w:p>
        </w:tc>
        <w:tc>
          <w:tcPr>
            <w:tcW w:w="7160" w:type="dxa"/>
            <w:shd w:val="clear" w:color="auto" w:fill="F2F7F7"/>
          </w:tcPr>
          <w:p>
            <w:pPr>
              <w:pStyle w:val="Compact"/>
              <w:jc w:val="left"/>
              <w:spacing w:before="30" w:after="30"/>
            </w:pPr>
            <w:r>
              <w:rPr>
                <w:rFonts w:ascii="Arial" w:hAnsi="Arial"/>
                <w:color w:val="2D3748"/>
                <w:sz w:val="18"/>
              </w:rPr>
              <w:t>Municipalidad de Neuquén Capital · Secretaría de Modernización</w:t>
            </w:r>
          </w:p>
        </w:tc>
      </w:tr>
      <w:tr>
        <w:trPr>
          <w:cantSplit/>
        </w:trPr>
        <w:tc>
          <w:tcPr>
            <w:tcW w:w="2200" w:type="dxa"/>
            <w:shd w:val="clear" w:color="auto" w:fill="F2F7F7"/>
          </w:tcPr>
          <w:p>
            <w:pPr>
              <w:pStyle w:val="Compact"/>
              <w:jc w:val="left"/>
              <w:spacing w:before="30" w:after="30"/>
            </w:pPr>
            <w:r>
              <w:rPr>
                <w:rFonts w:ascii="Arial" w:hAnsi="Arial"/>
                <w:b/>
                <w:color w:val="0E6873"/>
                <w:sz w:val="18"/>
              </w:rPr>
              <w:t>Enlace de acceso:</w:t>
            </w:r>
          </w:p>
        </w:tc>
        <w:tc>
          <w:tcPr>
            <w:tcW w:w="7160" w:type="dxa"/>
            <w:shd w:val="clear" w:color="auto" w:fill="F2F7F7"/>
          </w:tcPr>
          <w:p>
            <w:pPr>
              <w:pStyle w:val="Compact"/>
              <w:jc w:val="left"/>
              <w:spacing w:before="30" w:after="30"/>
            </w:pPr>
            <w:r>
              <w:rPr>
                <w:rFonts w:ascii="Arial" w:hAnsi="Arial"/>
                <w:u w:val="single"/>
                <w:color w:val="0550AE"/>
                <w:sz w:val="17"/>
              </w:rPr>
              <w:t>https://www.neuquencapital.gov.ar/secretaria-de-modernizacion/</w:t>
            </w:r>
          </w:p>
        </w:tc>
      </w:tr>
    </w:tbl>
    <w:p>
      <w:pPr>
        <w:pStyle w:val="FirstParagraph"/>
      </w:pPr>
      <w:r>
        <w:t xml:space="preserve">El portal analizado corresponde al área ejecutiva de modernización de la Municipalidad de Neuquén Capital, encabezada por el Secretario Lic. Javier Labrín. A diferencia de la página nacional de investigación del INAP, este portal posee una arquitectura orientada a la</w:t>
      </w:r>
      <w:r>
        <w:t xml:space="preserve"> </w:t>
      </w:r>
      <w:r>
        <w:rPr>
          <w:b/>
          <w:bCs/>
        </w:rPr>
        <w:t xml:space="preserve">acción operativa, la ventanilla digital y la interacción cotidiana con el vecino</w:t>
      </w:r>
      <w:r>
        <w:t xml:space="preserve">.</w:t>
      </w:r>
    </w:p>
    <w:p>
      <w:pPr>
        <w:pStyle w:val="BodyText"/>
      </w:pPr>
      <w:r>
        <w:t xml:space="preserve">La Secretaría de Modernización de Neuquén se organiza orgánicamente en tres áreas operativas fundamentales:</w:t>
      </w:r>
      <w:r>
        <w:t xml:space="preserve"> </w:t>
      </w:r>
      <w:r>
        <w:t xml:space="preserve">1.</w:t>
      </w:r>
      <w:r>
        <w:t xml:space="preserve"> </w:t>
      </w:r>
      <w:r>
        <w:rPr>
          <w:b/>
          <w:bCs/>
        </w:rPr>
        <w:t xml:space="preserve">Subsecretaría de Tecnologías:</w:t>
      </w:r>
      <w:r>
        <w:t xml:space="preserve"> </w:t>
      </w:r>
      <w:r>
        <w:t xml:space="preserve">Responsable de la infraestructura de redes, telecomunicaciones, servidores, ciberseguridad y el soporte técnico del parque informático municipal.</w:t>
      </w:r>
      <w:r>
        <w:t xml:space="preserve"> </w:t>
      </w:r>
      <w:r>
        <w:t xml:space="preserve">2.</w:t>
      </w:r>
      <w:r>
        <w:t xml:space="preserve"> </w:t>
      </w:r>
      <w:r>
        <w:rPr>
          <w:b/>
          <w:bCs/>
        </w:rPr>
        <w:t xml:space="preserve">Subsecretaría de Sistemas:</w:t>
      </w:r>
      <w:r>
        <w:t xml:space="preserve"> </w:t>
      </w:r>
      <w:r>
        <w:t xml:space="preserve">Encargada del diseño, desarrollo, implementación y mantenimiento del software de gestión interna y las plataformas web ciudadanas.</w:t>
      </w:r>
      <w:r>
        <w:t xml:space="preserve"> </w:t>
      </w:r>
      <w:r>
        <w:t xml:space="preserve">3.</w:t>
      </w:r>
      <w:r>
        <w:t xml:space="preserve"> </w:t>
      </w:r>
      <w:r>
        <w:rPr>
          <w:b/>
          <w:bCs/>
        </w:rPr>
        <w:t xml:space="preserve">Subsecretaría de Gestión Operativa:</w:t>
      </w:r>
      <w:r>
        <w:t xml:space="preserve"> </w:t>
      </w:r>
      <w:r>
        <w:t xml:space="preserve">Focalizada en la optimización de procesos administrativos, la coordinación de la ventanilla de atención y la modernización de los circuitos de atención al público.</w:t>
      </w:r>
    </w:p>
    <w:p>
      <w:pPr>
        <w:pStyle w:val="BodyText"/>
      </w:pPr>
      <w:r>
        <w:t xml:space="preserve">Entre las principales herramientas, sistemas y servicios integrados que expone el portal se destacan:</w:t>
      </w:r>
    </w:p>
    <w:p>
      <w:pPr>
        <w:pStyle w:val="Compact"/>
        <w:numPr>
          <w:ilvl w:val="0"/>
          <w:numId w:val="1002"/>
        </w:numPr>
      </w:pPr>
      <w:r>
        <w:rPr>
          <w:b/>
          <w:bCs/>
        </w:rPr>
        <w:t xml:space="preserve">Ecosistema de Trámites Web (</w:t>
      </w:r>
      <w:r>
        <w:rPr>
          <w:rStyle w:val="VerbatimChar"/>
          <w:b/>
          <w:bCs/>
        </w:rPr>
        <w:t xml:space="preserve">WebLogin Neuquén</w:t>
      </w:r>
      <w:r>
        <w:rPr>
          <w:b/>
          <w:bCs/>
        </w:rPr>
        <w:t xml:space="preserve">):</w:t>
      </w:r>
      <w:r>
        <w:t xml:space="preserve"> </w:t>
      </w:r>
      <w:r>
        <w:t xml:space="preserve">Plataforma de identidad digital ciudadana mediante la cual se unifica el acceso a trámites esenciales: gestión de la licencia de conducir con cursos teóricos virtuales, liquidación y pago online de tributos municipales, bolsa de empleo (</w:t>
      </w:r>
      <w:r>
        <w:rPr>
          <w:i/>
          <w:iCs/>
        </w:rPr>
        <w:t xml:space="preserve">Impulsa - Red Digital de Empleo</w:t>
      </w:r>
      <w:r>
        <w:t xml:space="preserve">), inscripción a ferias, carnet digital de manipulador de alimentos y registro del cupo laboral trans.</w:t>
      </w:r>
    </w:p>
    <w:p>
      <w:pPr>
        <w:pStyle w:val="Compact"/>
        <w:numPr>
          <w:ilvl w:val="0"/>
          <w:numId w:val="1002"/>
        </w:numPr>
      </w:pPr>
      <w:r>
        <w:rPr>
          <w:b/>
          <w:bCs/>
        </w:rPr>
        <w:t xml:space="preserve">Sistema de Información Territorial Urbano de Neuquén (</w:t>
      </w:r>
      <w:r>
        <w:rPr>
          <w:rStyle w:val="VerbatimChar"/>
          <w:b/>
          <w:bCs/>
        </w:rPr>
        <w:t xml:space="preserve">SITUN</w:t>
      </w:r>
      <w:r>
        <w:rPr>
          <w:b/>
          <w:bCs/>
        </w:rPr>
        <w:t xml:space="preserve">):</w:t>
      </w:r>
      <w:r>
        <w:rPr>
          <w:rStyle w:val="FootnoteReference"/>
        </w:rPr>
        <w:footnoteReference w:id="32"/>
      </w:r>
      <w:r>
        <w:t xml:space="preserve"> </w:t>
      </w:r>
      <w:r>
        <w:t xml:space="preserve">Potente plataforma de catastro digital y mapa interactivo georreferenciado que permite a profesionales y vecinos consultar zonificaciones, mensuras, obras particulares y trazados de servicios urbanos.</w:t>
      </w:r>
    </w:p>
    <w:p>
      <w:pPr>
        <w:pStyle w:val="Compact"/>
        <w:numPr>
          <w:ilvl w:val="0"/>
          <w:numId w:val="1002"/>
        </w:numPr>
      </w:pPr>
      <w:r>
        <w:rPr>
          <w:b/>
          <w:bCs/>
        </w:rPr>
        <w:t xml:space="preserve">Sistema de Turnos Online:</w:t>
      </w:r>
      <w:r>
        <w:t xml:space="preserve"> </w:t>
      </w:r>
      <w:r>
        <w:t xml:space="preserve">Plataforma de turnero inteligente para Juzgados de Faltas (N° 1 y N° 2), castraciones y bienestar animal, licencias de conducir y cursos de manipulación segura de alimentos, eliminando filas físicas y ordenando la demanda.</w:t>
      </w:r>
    </w:p>
    <w:p>
      <w:pPr>
        <w:pStyle w:val="Compact"/>
        <w:numPr>
          <w:ilvl w:val="0"/>
          <w:numId w:val="1002"/>
        </w:numPr>
      </w:pPr>
      <w:r>
        <w:rPr>
          <w:b/>
          <w:bCs/>
        </w:rPr>
        <w:t xml:space="preserve">Iniciativas Smart City y Ciudad Inteligente:</w:t>
      </w:r>
      <w:r>
        <w:t xml:space="preserve"> </w:t>
      </w:r>
      <w:r>
        <w:t xml:space="preserve">Gestión de tráfico inteligente con monitoreo en vivo, red de Zonas Wi-Fi públicas gratuitas distribuidas en plazas y balnearios, y la consolidación del</w:t>
      </w:r>
      <w:r>
        <w:t xml:space="preserve"> </w:t>
      </w:r>
      <w:r>
        <w:rPr>
          <w:b/>
          <w:bCs/>
        </w:rPr>
        <w:t xml:space="preserve">Polo Tecnológico de la Ciudad de Neuquén</w:t>
      </w:r>
      <w:r>
        <w:rPr>
          <w:rStyle w:val="FootnoteReference"/>
        </w:rPr>
        <w:footnoteReference w:id="33"/>
      </w:r>
      <w:r>
        <w:t xml:space="preserve">, concebido como motor de articulación público-privada para la industria del conocimiento.</w:t>
      </w:r>
    </w:p>
    <w:p>
      <w:pPr>
        <w:pStyle w:val="Compact"/>
        <w:numPr>
          <w:ilvl w:val="0"/>
          <w:numId w:val="1002"/>
        </w:numPr>
      </w:pPr>
      <w:r>
        <w:rPr>
          <w:b/>
          <w:bCs/>
        </w:rPr>
        <w:t xml:space="preserve">Transparencia y Normativa Abierta:</w:t>
      </w:r>
      <w:r>
        <w:t xml:space="preserve"> </w:t>
      </w:r>
      <w:r>
        <w:t xml:space="preserve">Acceso directo al Boletín Oficial Municipal digital y al Digesto de ordenanzas municipales, facilitando la auditoría ciudadana.</w:t>
      </w:r>
    </w:p>
    <w:bookmarkEnd w:id="34"/>
    <w:bookmarkEnd w:id="35"/>
    <w:bookmarkStart w:id="39" w:name="X4fb8b93d7239b0f402b4ecf260f9e41569f533d"/>
    <w:p>
      <w:pPr>
        <w:pStyle w:val="Heading1"/>
      </w:pPr>
      <w:r>
        <w:t xml:space="preserve">3. Análisis Comparativo Multidimensional: Nación vs. Neuquén</w:t>
      </w:r>
    </w:p>
    <w:p>
      <w:pPr>
        <w:pStyle w:val="FirstParagraph"/>
      </w:pPr>
      <w:r>
        <w:t xml:space="preserve">Al contrastar ambas plataformas gubernamentales, se evidencia que representan dos eslabones complementarios del federalismo argentino: por un lado, el diseño estratégico y la fijación de estándares a nivel central; por el otro, la ejecución directa de soluciones de proximidad comunitaria.</w:t>
      </w:r>
    </w:p>
    <w:tbl>
      <w:tblPr>
        <w:tblStyle w:val="Table"/>
        <w:tblW w:type="pct" w:w="5000"/>
        <w:tblLayout w:type="fixed"/>
        <w:tblLook w:firstRow="1" w:lastRow="0" w:firstColumn="0" w:lastColumn="0" w:noHBand="0" w:noVBand="0" w:val="0020"/>
        <w:tblBorders>
          <w:top w:val="single" w:sz="12" w:space="0" w:color="153E5C"/>
          <w:left w:val="none"/>
          <w:bottom w:val="single" w:sz="12" w:space="0" w:color="153E5C"/>
          <w:right w:val="none"/>
          <w:insideH w:val="single" w:sz="4" w:space="0" w:color="E2E8F0"/>
          <w:insideV w:val="none"/>
        </w:tblBorders>
        <w:tblCellMar>
          <w:top w:w="120" w:type="dxa"/>
          <w:left w:w="140" w:type="dxa"/>
          <w:bottom w:w="120" w:type="dxa"/>
          <w:right w:w="140" w:type="dxa"/>
        </w:tblCellMar>
      </w:tblPr>
      <w:tblGrid>
        <w:gridCol w:w="2400"/>
        <w:gridCol w:w="3480"/>
        <w:gridCol w:w="3480"/>
      </w:tblGrid>
      <w:tr>
        <w:trPr>
          <w:tblHeader w:val="on"/>
          <w:cantSplit/>
          <w:tblHeader/>
        </w:trPr>
        <w:tc>
          <w:tcPr>
            <w:tcW w:w="2400" w:type="dxa"/>
            <w:shd w:val="clear" w:color="auto" w:fill="153E5C"/>
          </w:tcPr>
          <w:p>
            <w:pPr>
              <w:pStyle w:val="Compact"/>
              <w:jc w:val="center"/>
            </w:pPr>
            <w:r>
              <w:rPr>
                <w:rFonts w:ascii="Arial" w:hAnsi="Arial"/>
                <w:b/>
                <w:color w:val="FFFFFF"/>
                <w:sz w:val="19"/>
              </w:rPr>
              <w:t xml:space="preserve">Dimensión de Análisis</w:t>
            </w:r>
          </w:p>
        </w:tc>
        <w:tc>
          <w:tcPr>
            <w:tcW w:w="3480" w:type="dxa"/>
            <w:shd w:val="clear" w:color="auto" w:fill="153E5C"/>
          </w:tcPr>
          <w:p>
            <w:pPr>
              <w:pStyle w:val="Compact"/>
              <w:jc w:val="left"/>
            </w:pPr>
            <w:r>
              <w:rPr>
                <w:rFonts w:ascii="Arial" w:hAnsi="Arial"/>
                <w:b/>
                <w:color w:val="FFFFFF"/>
                <w:sz w:val="19"/>
              </w:rPr>
              <w:t xml:space="preserve">Nivel Nacional (INAP · Nación)</w:t>
            </w:r>
          </w:p>
        </w:tc>
        <w:tc>
          <w:tcPr>
            <w:tcW w:w="3480" w:type="dxa"/>
            <w:shd w:val="clear" w:color="auto" w:fill="153E5C"/>
          </w:tcPr>
          <w:p>
            <w:pPr>
              <w:pStyle w:val="Compact"/>
              <w:jc w:val="left"/>
            </w:pPr>
            <w:r>
              <w:rPr>
                <w:rFonts w:ascii="Arial" w:hAnsi="Arial"/>
                <w:b/>
                <w:color w:val="FFFFFF"/>
                <w:sz w:val="19"/>
              </w:rPr>
              <w:t xml:space="preserve">Jurisdicción Local (Neuquén Capital)</w:t>
            </w:r>
          </w:p>
        </w:tc>
      </w:tr>
      <w:tr>
        <w:trPr>
          <w:cantSplit/>
        </w:trPr>
        <w:tc>
          <w:tcPr>
            <w:tcW w:w="2400" w:type="dxa"/>
          </w:tcPr>
          <w:p>
            <w:pPr>
              <w:pStyle w:val="Compact"/>
              <w:spacing w:line="276" w:lineRule="auto" w:after="40" w:before="40"/>
              <w:jc w:val="left"/>
            </w:pPr>
            <w:r>
              <w:rPr>
                <w:rFonts w:ascii="Arial" w:hAnsi="Arial"/>
                <w:b/>
                <w:bCs/>
                <w:color w:val="153E5C"/>
                <w:sz w:val="18"/>
              </w:rPr>
              <w:t xml:space="preserve">Nivel de Gobierno y Misión</w:t>
            </w:r>
          </w:p>
        </w:tc>
        <w:tc>
          <w:tcPr>
            <w:tcW w:w="3480" w:type="dxa"/>
          </w:tcPr>
          <w:p>
            <w:pPr>
              <w:pStyle w:val="Compact"/>
              <w:spacing w:line="276" w:lineRule="auto" w:after="40" w:before="40"/>
              <w:jc w:val="left"/>
            </w:pPr>
            <w:r>
              <w:rPr>
                <w:rFonts w:ascii="Arial" w:hAnsi="Arial"/>
                <w:color w:val="2D3748"/>
                <w:sz w:val="17"/>
              </w:rPr>
              <w:t xml:space="preserve">Nivel federal. Diseña lineamientos, marcos rectores, indicadores estadísticos e investigación de políticas públicas para la Administración Pública Nacional (APN).</w:t>
            </w:r>
          </w:p>
        </w:tc>
        <w:tc>
          <w:tcPr>
            <w:tcW w:w="3480" w:type="dxa"/>
          </w:tcPr>
          <w:p>
            <w:pPr>
              <w:pStyle w:val="Compact"/>
              <w:spacing w:line="276" w:lineRule="auto" w:after="40" w:before="40"/>
              <w:jc w:val="left"/>
            </w:pPr>
            <w:r>
              <w:rPr>
                <w:rFonts w:ascii="Arial" w:hAnsi="Arial"/>
                <w:color w:val="2D3748"/>
                <w:sz w:val="17"/>
              </w:rPr>
              <w:t xml:space="preserve">Nivel municipal / subnacional. Ejecución directa, prestación de servicios de cercanía, infraestructura urbana y resolución de problemas cotidianos de la ciudadanía.</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Enfoque del Portal Web</w:t>
            </w:r>
          </w:p>
        </w:tc>
        <w:tc>
          <w:tcPr>
            <w:tcW w:w="3480" w:type="dxa"/>
            <w:shd w:val="clear" w:color="auto" w:fill="F8FAFC"/>
          </w:tcPr>
          <w:p>
            <w:pPr>
              <w:pStyle w:val="Compact"/>
              <w:spacing w:line="276" w:lineRule="auto" w:after="40" w:before="40"/>
              <w:jc w:val="left"/>
            </w:pPr>
            <w:r>
              <w:rPr>
                <w:rFonts w:ascii="Arial" w:hAnsi="Arial"/>
                <w:color w:val="2D3748"/>
                <w:sz w:val="17"/>
              </w:rPr>
              <w:t xml:space="preserve">Observatorio analítico y conceptual. Centrado en la generación de conocimiento, publicaciones académicas y propuestas de medición institucional.</w:t>
            </w:r>
          </w:p>
        </w:tc>
        <w:tc>
          <w:tcPr>
            <w:tcW w:w="3480" w:type="dxa"/>
            <w:shd w:val="clear" w:color="auto" w:fill="F8FAFC"/>
          </w:tcPr>
          <w:p>
            <w:pPr>
              <w:pStyle w:val="Compact"/>
              <w:spacing w:line="276" w:lineRule="auto" w:after="40" w:before="40"/>
              <w:jc w:val="left"/>
            </w:pPr>
            <w:r>
              <w:rPr>
                <w:rFonts w:ascii="Arial" w:hAnsi="Arial"/>
                <w:color w:val="2D3748"/>
                <w:sz w:val="17"/>
              </w:rPr>
              <w:t xml:space="preserve">Portal operativo y transaccional. Centrado en la ventanilla única virtual (</w:t>
            </w:r>
            <w:r>
              <w:rPr>
                <w:rStyle w:val="VerbatimChar"/>
                <w:rFonts w:ascii="Arial" w:hAnsi="Arial"/>
                <w:color w:val="2D3748"/>
                <w:sz w:val="17"/>
              </w:rPr>
              <w:t xml:space="preserve">WebLogin</w:t>
            </w:r>
            <w:r>
              <w:rPr>
                <w:rFonts w:ascii="Arial" w:hAnsi="Arial"/>
                <w:color w:val="2D3748"/>
                <w:sz w:val="17"/>
              </w:rPr>
              <w:t xml:space="preserve">), turnero digital y mapa de servicios en territorio.</w:t>
            </w:r>
          </w:p>
        </w:tc>
      </w:tr>
      <w:tr>
        <w:trPr>
          <w:cantSplit/>
        </w:trPr>
        <w:tc>
          <w:tcPr>
            <w:tcW w:w="2400" w:type="dxa"/>
          </w:tcPr>
          <w:p>
            <w:pPr>
              <w:pStyle w:val="Compact"/>
              <w:spacing w:line="276" w:lineRule="auto" w:after="40" w:before="40"/>
              <w:jc w:val="left"/>
            </w:pPr>
            <w:r>
              <w:rPr>
                <w:rFonts w:ascii="Arial" w:hAnsi="Arial"/>
                <w:b/>
                <w:bCs/>
                <w:color w:val="153E5C"/>
                <w:sz w:val="18"/>
              </w:rPr>
              <w:t xml:space="preserve">Gobierno Digital e Interoperabilidad</w:t>
            </w:r>
          </w:p>
        </w:tc>
        <w:tc>
          <w:tcPr>
            <w:tcW w:w="3480" w:type="dxa"/>
          </w:tcPr>
          <w:p>
            <w:pPr>
              <w:pStyle w:val="Compact"/>
              <w:spacing w:line="276" w:lineRule="auto" w:after="40" w:before="40"/>
              <w:jc w:val="left"/>
            </w:pPr>
            <w:r>
              <w:rPr>
                <w:rFonts w:ascii="Arial" w:hAnsi="Arial"/>
                <w:color w:val="2D3748"/>
                <w:sz w:val="17"/>
              </w:rPr>
              <w:t xml:space="preserve">Impulsa la interoperabilidad federal, estándares de intercambio de datos, firma digital y plataformas transversales como TAD y Mi Argentina.</w:t>
            </w:r>
          </w:p>
        </w:tc>
        <w:tc>
          <w:tcPr>
            <w:tcW w:w="3480" w:type="dxa"/>
          </w:tcPr>
          <w:p>
            <w:pPr>
              <w:pStyle w:val="Compact"/>
              <w:spacing w:line="276" w:lineRule="auto" w:after="40" w:before="40"/>
              <w:jc w:val="left"/>
            </w:pPr>
            <w:r>
              <w:rPr>
                <w:rFonts w:ascii="Arial" w:hAnsi="Arial"/>
                <w:color w:val="2D3748"/>
                <w:sz w:val="17"/>
              </w:rPr>
              <w:t xml:space="preserve">Implementa plataformas de gestión local interoperadas internamente: Catastro SITUN, Tribunal de Faltas, Cobranzas y Trámites Web.</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País Digital vs. Smart City</w:t>
            </w:r>
          </w:p>
        </w:tc>
        <w:tc>
          <w:tcPr>
            <w:tcW w:w="3480" w:type="dxa"/>
            <w:shd w:val="clear" w:color="auto" w:fill="F8FAFC"/>
          </w:tcPr>
          <w:p>
            <w:pPr>
              <w:pStyle w:val="Compact"/>
              <w:spacing w:line="276" w:lineRule="auto" w:after="40" w:before="40"/>
              <w:jc w:val="left"/>
            </w:pPr>
            <w:r>
              <w:rPr>
                <w:rFonts w:ascii="Arial" w:hAnsi="Arial"/>
                <w:color w:val="2D3748"/>
                <w:sz w:val="17"/>
              </w:rPr>
              <w:t xml:space="preserve">Aborda la brecha digital macro: conectividad geográfica federal, tendido troncal, puntos Wi-Fi nacionales y métricas de computadoras por habitante.</w:t>
            </w:r>
          </w:p>
        </w:tc>
        <w:tc>
          <w:tcPr>
            <w:tcW w:w="3480" w:type="dxa"/>
            <w:shd w:val="clear" w:color="auto" w:fill="F8FAFC"/>
          </w:tcPr>
          <w:p>
            <w:pPr>
              <w:pStyle w:val="Compact"/>
              <w:spacing w:line="276" w:lineRule="auto" w:after="40" w:before="40"/>
              <w:jc w:val="left"/>
            </w:pPr>
            <w:r>
              <w:rPr>
                <w:rFonts w:ascii="Arial" w:hAnsi="Arial"/>
                <w:color w:val="2D3748"/>
                <w:sz w:val="17"/>
              </w:rPr>
              <w:t xml:space="preserve">Aplica el concepto de </w:t>
            </w:r>
            <w:r>
              <w:rPr>
                <w:rFonts w:ascii="Arial" w:hAnsi="Arial"/>
                <w:i/>
                <w:iCs/>
                <w:color w:val="2D3748"/>
                <w:sz w:val="17"/>
              </w:rPr>
              <w:t xml:space="preserve">Ciudad Inteligente</w:t>
            </w:r>
            <w:r>
              <w:rPr>
                <w:rFonts w:ascii="Arial" w:hAnsi="Arial"/>
                <w:color w:val="2D3748"/>
                <w:sz w:val="17"/>
              </w:rPr>
              <w:t xml:space="preserve">: cámaras en vivo, Zonas Wi-Fi municipales en espacios verdes, gestión de tráfico inteligente y Polo Tecnológico.</w:t>
            </w:r>
          </w:p>
        </w:tc>
      </w:tr>
      <w:tr>
        <w:trPr>
          <w:cantSplit/>
        </w:trPr>
        <w:tc>
          <w:tcPr>
            <w:tcW w:w="2400" w:type="dxa"/>
          </w:tcPr>
          <w:p>
            <w:pPr>
              <w:pStyle w:val="Compact"/>
              <w:spacing w:line="276" w:lineRule="auto" w:after="40" w:before="40"/>
              <w:jc w:val="left"/>
            </w:pPr>
            <w:r>
              <w:rPr>
                <w:rFonts w:ascii="Arial" w:hAnsi="Arial"/>
                <w:b/>
                <w:bCs/>
                <w:color w:val="153E5C"/>
                <w:sz w:val="18"/>
              </w:rPr>
              <w:t xml:space="preserve">Modernización Administrativa</w:t>
            </w:r>
          </w:p>
        </w:tc>
        <w:tc>
          <w:tcPr>
            <w:tcW w:w="3480" w:type="dxa"/>
          </w:tcPr>
          <w:p>
            <w:pPr>
              <w:pStyle w:val="Compact"/>
              <w:spacing w:line="276" w:lineRule="auto" w:after="40" w:before="40"/>
              <w:jc w:val="left"/>
            </w:pPr>
            <w:r>
              <w:rPr>
                <w:rFonts w:ascii="Arial" w:hAnsi="Arial"/>
                <w:color w:val="2D3748"/>
                <w:sz w:val="17"/>
              </w:rPr>
              <w:t xml:space="preserve">Focalizado en el Sistema de Gestión Documental Electrónica (GDE), expediente electrónico de compras públicas y reducción de tiempos ministeriales.</w:t>
            </w:r>
          </w:p>
        </w:tc>
        <w:tc>
          <w:tcPr>
            <w:tcW w:w="3480" w:type="dxa"/>
          </w:tcPr>
          <w:p>
            <w:pPr>
              <w:pStyle w:val="Compact"/>
              <w:spacing w:line="276" w:lineRule="auto" w:after="40" w:before="40"/>
              <w:jc w:val="left"/>
            </w:pPr>
            <w:r>
              <w:rPr>
                <w:rFonts w:ascii="Arial" w:hAnsi="Arial"/>
                <w:color w:val="2D3748"/>
                <w:sz w:val="17"/>
              </w:rPr>
              <w:t xml:space="preserve">Focalizado en la ventanilla única de trámites municipales, despapelización de licencias, agrimensura, habilitaciones comerciales y digesto digital.</w:t>
            </w:r>
          </w:p>
        </w:tc>
      </w:tr>
      <w:tr>
        <w:trPr>
          <w:cantSplit/>
        </w:trPr>
        <w:tc>
          <w:tcPr>
            <w:tcW w:w="2400" w:type="dxa"/>
            <w:shd w:val="clear" w:color="auto" w:fill="F8FAFC"/>
          </w:tcPr>
          <w:p>
            <w:pPr>
              <w:pStyle w:val="Compact"/>
              <w:spacing w:line="276" w:lineRule="auto" w:after="40" w:before="40"/>
              <w:jc w:val="left"/>
            </w:pPr>
            <w:r>
              <w:rPr>
                <w:rFonts w:ascii="Arial" w:hAnsi="Arial"/>
                <w:b/>
                <w:bCs/>
                <w:color w:val="153E5C"/>
                <w:sz w:val="18"/>
              </w:rPr>
              <w:t xml:space="preserve">Gobierno Abierto y Participación</w:t>
            </w:r>
          </w:p>
        </w:tc>
        <w:tc>
          <w:tcPr>
            <w:tcW w:w="3480" w:type="dxa"/>
            <w:shd w:val="clear" w:color="auto" w:fill="F8FAFC"/>
          </w:tcPr>
          <w:p>
            <w:pPr>
              <w:pStyle w:val="Compact"/>
              <w:spacing w:line="276" w:lineRule="auto" w:after="40" w:before="40"/>
              <w:jc w:val="left"/>
            </w:pPr>
            <w:r>
              <w:rPr>
                <w:rFonts w:ascii="Arial" w:hAnsi="Arial"/>
                <w:color w:val="2D3748"/>
                <w:sz w:val="17"/>
              </w:rPr>
              <w:t xml:space="preserve">Alineado con compromisos internacionales: Alianza para el Gobierno Abierto (OGP), Carta Iberoamericana y estándares de transparencia de la OCDE.</w:t>
            </w:r>
          </w:p>
        </w:tc>
        <w:tc>
          <w:tcPr>
            <w:tcW w:w="3480" w:type="dxa"/>
            <w:shd w:val="clear" w:color="auto" w:fill="F8FAFC"/>
          </w:tcPr>
          <w:p>
            <w:pPr>
              <w:pStyle w:val="Compact"/>
              <w:spacing w:line="276" w:lineRule="auto" w:after="40" w:before="40"/>
              <w:jc w:val="left"/>
            </w:pPr>
            <w:r>
              <w:rPr>
                <w:rFonts w:ascii="Arial" w:hAnsi="Arial"/>
                <w:color w:val="2D3748"/>
                <w:sz w:val="17"/>
              </w:rPr>
              <w:t xml:space="preserve">Enfocado en la transparencia de proximidad: Boletín Oficial digital, portal tributario abierto, participación comunitaria en ferias y empleo local.</w:t>
            </w:r>
          </w:p>
        </w:tc>
      </w:tr>
      <w:tr>
        <w:trPr>
          <w:cantSplit/>
        </w:trPr>
        <w:tc>
          <w:tcPr>
            <w:tcW w:w="2400" w:type="dxa"/>
          </w:tcPr>
          <w:p>
            <w:pPr>
              <w:pStyle w:val="Compact"/>
              <w:spacing w:line="276" w:lineRule="auto" w:after="40" w:before="40"/>
              <w:jc w:val="left"/>
            </w:pPr>
            <w:r>
              <w:rPr>
                <w:rFonts w:ascii="Arial" w:hAnsi="Arial"/>
                <w:b/>
                <w:bCs/>
                <w:color w:val="153E5C"/>
                <w:sz w:val="18"/>
              </w:rPr>
              <w:t xml:space="preserve">Capacitación del Talento Humano</w:t>
            </w:r>
          </w:p>
        </w:tc>
        <w:tc>
          <w:tcPr>
            <w:tcW w:w="3480" w:type="dxa"/>
          </w:tcPr>
          <w:p>
            <w:pPr>
              <w:pStyle w:val="Compact"/>
              <w:spacing w:line="276" w:lineRule="auto" w:after="40" w:before="40"/>
              <w:jc w:val="left"/>
            </w:pPr>
            <w:r>
              <w:rPr>
                <w:rFonts w:ascii="Arial" w:hAnsi="Arial"/>
                <w:color w:val="2D3748"/>
                <w:sz w:val="17"/>
              </w:rPr>
              <w:t xml:space="preserve">Formación masiva de funcionarios federales a través del INAP, carreras de administración pública y gestión por competencias.</w:t>
            </w:r>
          </w:p>
        </w:tc>
        <w:tc>
          <w:tcPr>
            <w:tcW w:w="3480" w:type="dxa"/>
          </w:tcPr>
          <w:p>
            <w:pPr>
              <w:pStyle w:val="Compact"/>
              <w:spacing w:line="276" w:lineRule="auto" w:after="40" w:before="40"/>
              <w:jc w:val="left"/>
            </w:pPr>
            <w:r>
              <w:rPr>
                <w:rFonts w:ascii="Arial" w:hAnsi="Arial"/>
                <w:color w:val="2D3748"/>
                <w:sz w:val="17"/>
              </w:rPr>
              <w:t xml:space="preserve">Capacitación operativa de agentes municipales y formación directa a ciudadanos (cursos de seguridad vial, manipulación de alimentos).</w:t>
            </w:r>
          </w:p>
        </w:tc>
      </w:tr>
    </w:tbl>
    <w:bookmarkStart w:id="36" w:name="convergencias-y-puntos-de-encuentro"/>
    <w:p>
      <w:pPr>
        <w:pStyle w:val="Heading2"/>
      </w:pPr>
      <w:r>
        <w:t xml:space="preserve">3.1. Convergencias y Puntos de Encuentro</w:t>
      </w:r>
    </w:p>
    <w:p>
      <w:pPr>
        <w:pStyle w:val="FirstParagraph"/>
      </w:pPr>
      <w:r>
        <w:t xml:space="preserve">A pesar de sus diferencias de escala y ámbito jurisdiccional, ambos modelos convergen en principios rectores indiscutibles:</w:t>
      </w:r>
      <w:r>
        <w:t xml:space="preserve"> </w:t>
      </w:r>
      <w:r>
        <w:t xml:space="preserve">-</w:t>
      </w:r>
      <w:r>
        <w:t xml:space="preserve"> </w:t>
      </w:r>
      <w:r>
        <w:rPr>
          <w:b/>
          <w:bCs/>
        </w:rPr>
        <w:t xml:space="preserve">Ciudadano como Centro del Ecosistema:</w:t>
      </w:r>
      <w:r>
        <w:t xml:space="preserve"> </w:t>
      </w:r>
      <w:r>
        <w:t xml:space="preserve">Tanto el marco del INAP como los desarrollos de Neuquén Capital coinciden en que la modernización no debe concebirse como un fin autorreferencial del Estado, sino como un medio para garantizar derechos y simplificarle la vida al administrado.</w:t>
      </w:r>
      <w:r>
        <w:t xml:space="preserve"> </w:t>
      </w:r>
      <w:r>
        <w:t xml:space="preserve">-</w:t>
      </w:r>
      <w:r>
        <w:t xml:space="preserve"> </w:t>
      </w:r>
      <w:r>
        <w:rPr>
          <w:b/>
          <w:bCs/>
        </w:rPr>
        <w:t xml:space="preserve">Abandono Definitivo del Soporte Papel:</w:t>
      </w:r>
      <w:r>
        <w:t xml:space="preserve"> </w:t>
      </w:r>
      <w:r>
        <w:t xml:space="preserve">El sistema GDE a nivel nacional y las plataformas de expedientes digitales y licencias online en Neuquén demuestran que la despapelización es una meta consolidada e irreversible.</w:t>
      </w:r>
      <w:r>
        <w:t xml:space="preserve"> </w:t>
      </w:r>
      <w:r>
        <w:t xml:space="preserve">-</w:t>
      </w:r>
      <w:r>
        <w:t xml:space="preserve"> </w:t>
      </w:r>
      <w:r>
        <w:rPr>
          <w:b/>
          <w:bCs/>
        </w:rPr>
        <w:t xml:space="preserve">Uso Intensivo de Datos Georreferenciados:</w:t>
      </w:r>
      <w:r>
        <w:t xml:space="preserve"> </w:t>
      </w:r>
      <w:r>
        <w:t xml:space="preserve">Mientras Nación mide la distribución espacial de la conectividad, Neuquén utiliza el sistema territorial</w:t>
      </w:r>
      <w:r>
        <w:t xml:space="preserve"> </w:t>
      </w:r>
      <w:r>
        <w:rPr>
          <w:rStyle w:val="VerbatimChar"/>
        </w:rPr>
        <w:t xml:space="preserve">SITUN</w:t>
      </w:r>
      <w:r>
        <w:t xml:space="preserve"> </w:t>
      </w:r>
      <w:r>
        <w:t xml:space="preserve">para vincular catastro, zonificación y obras con geolocalización de precisión.</w:t>
      </w:r>
    </w:p>
    <w:bookmarkEnd w:id="36"/>
    <w:bookmarkStart w:id="38" w:name="Xbf2b7c3d798361941f720ca12d11dd982c6d6a4"/>
    <w:p>
      <w:pPr>
        <w:pStyle w:val="Heading2"/>
      </w:pPr>
      <w:r>
        <w:t xml:space="preserve">3.2. Asimetrías y Desafíos de Integración Federal</w:t>
      </w:r>
    </w:p>
    <w:p>
      <w:pPr>
        <w:pStyle w:val="FirstParagraph"/>
      </w:pPr>
      <w:r>
        <w:t xml:space="preserve">El análisis comparativo también devela tensiones y asimetrías estructurales:</w:t>
      </w:r>
      <w:r>
        <w:t xml:space="preserve"> </w:t>
      </w:r>
      <w:r>
        <w:t xml:space="preserve">-</w:t>
      </w:r>
      <w:r>
        <w:t xml:space="preserve"> </w:t>
      </w:r>
      <w:r>
        <w:rPr>
          <w:b/>
          <w:bCs/>
        </w:rPr>
        <w:t xml:space="preserve">Desconexión entre Marcos Conceptuales y Aplicación Práctica:</w:t>
      </w:r>
      <w:r>
        <w:t xml:space="preserve"> </w:t>
      </w:r>
      <w:r>
        <w:t xml:space="preserve">Mientras el portal del INAP presenta una taxonomía refinada de indicadores, los municipios frecuentemente operan bajo urgencias presupuestarias que dificultan la medición científica de sus tiempos de respuesta.</w:t>
      </w:r>
      <w:r>
        <w:t xml:space="preserve"> </w:t>
      </w:r>
      <w:r>
        <w:t xml:space="preserve">-</w:t>
      </w:r>
      <w:r>
        <w:t xml:space="preserve"> </w:t>
      </w:r>
      <w:r>
        <w:rPr>
          <w:b/>
          <w:bCs/>
        </w:rPr>
        <w:t xml:space="preserve">Interoperabilidad Federal-Municipal Incompleta:</w:t>
      </w:r>
      <w:r>
        <w:rPr>
          <w:rStyle w:val="FootnoteReference"/>
        </w:rPr>
        <w:footnoteReference w:id="37"/>
      </w:r>
      <w:r>
        <w:t xml:space="preserve"> </w:t>
      </w:r>
      <w:r>
        <w:t xml:space="preserve">Con frecuencia, los sistemas locales (</w:t>
      </w:r>
      <w:r>
        <w:rPr>
          <w:rStyle w:val="VerbatimChar"/>
        </w:rPr>
        <w:t xml:space="preserve">WebLogin Neuquén</w:t>
      </w:r>
      <w:r>
        <w:t xml:space="preserve">) y los sistemas nacionales (</w:t>
      </w:r>
      <w:r>
        <w:rPr>
          <w:rStyle w:val="VerbatimChar"/>
        </w:rPr>
        <w:t xml:space="preserve">Mi Argentina</w:t>
      </w:r>
      <w:r>
        <w:t xml:space="preserve">, Registro Nacional de las Personas - RENAPER, Agencia Nacional de Seguridad Vial) requieren procesos de doble carga o validaciones manuales debido a la falta de APIs gubernamentales unificadas y acuerdos federales estables.</w:t>
      </w:r>
    </w:p>
    <w:bookmarkEnd w:id="38"/>
    <w:bookmarkEnd w:id="39"/>
    <w:bookmarkStart w:id="40" w:name="Xce0272aac5929939a39680cf30301902fb7015f"/>
    <w:p>
      <w:pPr>
        <w:pStyle w:val="Heading1"/>
      </w:pPr>
      <w:r>
        <w:t xml:space="preserve">4. Conclusiones y Recomendaciones de Política Pública</w:t>
      </w:r>
    </w:p>
    <w:p>
      <w:pPr>
        <w:pStyle w:val="FirstParagraph"/>
      </w:pPr>
      <w:r>
        <w:t xml:space="preserve">La investigación comparativa realizada entre el marco analítico nacional del INAP y la experiencia práctica de la Secretaría de Modernización de Neuquén Capital arroja valiosas conclusiones para la formación en gestión pública y tecnologías de la información:</w:t>
      </w:r>
    </w:p>
    <w:p>
      <w:pPr>
        <w:pStyle w:val="Compact"/>
        <w:numPr>
          <w:ilvl w:val="0"/>
          <w:numId w:val="1003"/>
        </w:numPr>
      </w:pPr>
      <w:r>
        <w:rPr>
          <w:b/>
          <w:bCs/>
        </w:rPr>
        <w:t xml:space="preserve">La Modernización es un Proceso Adaptativo y No Meramente Tecnológico:</w:t>
      </w:r>
      <w:r>
        <w:t xml:space="preserve"> </w:t>
      </w:r>
      <w:r>
        <w:t xml:space="preserve">Tanto a nivel federal como municipal, el éxito de la transformación digital no reside en la compra de servidores o en el diseño de páginas visualmente atractivas, sino en la reingeniería de los procesos burocráticos y en el acompañamiento del capital humano para vencer la resistencia cultural al cambio.</w:t>
      </w:r>
    </w:p>
    <w:p>
      <w:pPr>
        <w:pStyle w:val="Compact"/>
        <w:numPr>
          <w:ilvl w:val="0"/>
          <w:numId w:val="1003"/>
        </w:numPr>
      </w:pPr>
      <w:r>
        <w:rPr>
          <w:b/>
          <w:bCs/>
        </w:rPr>
        <w:t xml:space="preserve">Complementariedad Indispensable en el Federalismo:</w:t>
      </w:r>
      <w:r>
        <w:t xml:space="preserve"> </w:t>
      </w:r>
      <w:r>
        <w:t xml:space="preserve">No existe contradicción entre el enfoque macro del INAP y el enfoque micro de Neuquén Capital; son dos caras de la misma moneda. El nivel nacional debe garantizar autopistas de datos, interoperabilidad jurídica y pautas de gobernanza de datos abiertos; los gobiernos locales deben aprovechar esos estándares para construir soluciones de proximidad directa con el vecino.</w:t>
      </w:r>
    </w:p>
    <w:p>
      <w:pPr>
        <w:pStyle w:val="Compact"/>
        <w:numPr>
          <w:ilvl w:val="0"/>
          <w:numId w:val="1003"/>
        </w:numPr>
      </w:pPr>
      <w:r>
        <w:rPr>
          <w:b/>
          <w:bCs/>
        </w:rPr>
        <w:t xml:space="preserve">El Rol de la Ciudad Inteligente en la Patagonia:</w:t>
      </w:r>
      <w:r>
        <w:t xml:space="preserve"> </w:t>
      </w:r>
      <w:r>
        <w:t xml:space="preserve">La experiencia neuquina de incorporar semaforización inteligente, catastro digital</w:t>
      </w:r>
      <w:r>
        <w:t xml:space="preserve"> </w:t>
      </w:r>
      <w:r>
        <w:rPr>
          <w:rStyle w:val="VerbatimChar"/>
        </w:rPr>
        <w:t xml:space="preserve">SITUN</w:t>
      </w:r>
      <w:r>
        <w:t xml:space="preserve"> </w:t>
      </w:r>
      <w:r>
        <w:t xml:space="preserve">y la creación del Polo Tecnológico demuestra que los gobiernos locales pueden liderar procesos de innovación territorial que exceden la mera administración de trámites, posicionando a la ciudad como un centro de atracción de talentos y empresas basadas en el conocimiento.</w:t>
      </w:r>
    </w:p>
    <w:p>
      <w:pPr>
        <w:pStyle w:val="Compact"/>
        <w:numPr>
          <w:ilvl w:val="0"/>
          <w:numId w:val="1003"/>
        </w:numPr>
      </w:pPr>
      <w:r>
        <w:rPr>
          <w:b/>
          <w:bCs/>
        </w:rPr>
        <w:t xml:space="preserve">Desafíos de Interoperabilidad Federal y Sostenibilidad Financiera:</w:t>
      </w:r>
      <w:r>
        <w:t xml:space="preserve"> </w:t>
      </w:r>
      <w:r>
        <w:t xml:space="preserve">Para profundizar la modernización, resulta imperativo avanzar en esquemas de interoperabilidad técnica y normativa vinculante entre los sistemas nacionales (como GDE y Mi Argentina) y las plataformas territoriales de los municipios, garantizando que los servicios al ciudadano no se interrumpan por asimetrías de infraestructura o alternancias políticas.</w:t>
      </w:r>
    </w:p>
    <w:p>
      <w:r>
        <w:br w:type="page"/>
      </w:r>
    </w:p>
    <w:bookmarkEnd w:id="40"/>
    <w:bookmarkStart w:id="46" w:name="Xec850b3d016b3f0d7255de5b4756a8e2ad7a98d"/>
    <w:p>
      <w:pPr>
        <w:pStyle w:val="Heading1"/>
      </w:pPr>
      <w:r>
        <w:t xml:space="preserve">5. Referencias Bibliográficas y Fuentes Oficiales</w:t>
      </w:r>
    </w:p>
    <w:p>
      <w:pPr>
        <w:pStyle w:val="Compact"/>
        <w:numPr>
          <w:ilvl w:val="0"/>
          <w:numId w:val="1004"/>
        </w:numPr>
      </w:pPr>
      <w:r>
        <w:rPr>
          <w:b/>
          <w:bCs/>
        </w:rPr>
        <w:t xml:space="preserve">Instituto Nacional de la Administración Pública (INAP) / Ministerio de Desregulación y Transformación del Estado</w:t>
      </w:r>
      <w:r>
        <w:t xml:space="preserve"> </w:t>
      </w:r>
      <w:r>
        <w:t xml:space="preserve">(2024).</w:t>
      </w:r>
      <w:r>
        <w:t xml:space="preserve"> </w:t>
      </w:r>
      <w:r>
        <w:rPr>
          <w:i/>
          <w:iCs/>
        </w:rPr>
        <w:t xml:space="preserve">Líneas de Investigación en Modernización del Estado - Observatorio de la Administración Pública</w:t>
      </w:r>
      <w:r>
        <w:t xml:space="preserve">. Presidencia de la Nación Argentina. Disponible en:</w:t>
      </w:r>
      <w:r>
        <w:t xml:space="preserve"> </w:t>
      </w:r>
      <w:hyperlink r:id="rId41">
        <w:r>
          <w:rPr>
            <w:rStyle w:val="Hyperlink"/>
          </w:rPr>
          <w:t xml:space="preserve">https://www.argentina.gob.ar/modernizacion/inap/observatorio/lineas-investigacion/modernizacion-del-estado</w:t>
        </w:r>
      </w:hyperlink>
      <w:r>
        <w:t xml:space="preserve"> </w:t>
      </w:r>
      <w:r>
        <w:t xml:space="preserve">(Acceso: Septiembre 2026).</w:t>
      </w:r>
    </w:p>
    <w:p>
      <w:pPr>
        <w:pStyle w:val="Compact"/>
        <w:numPr>
          <w:ilvl w:val="0"/>
          <w:numId w:val="1004"/>
        </w:numPr>
      </w:pPr>
      <w:r>
        <w:rPr>
          <w:b/>
          <w:bCs/>
        </w:rPr>
        <w:t xml:space="preserve">Municipalidad de Neuquén Capital</w:t>
      </w:r>
      <w:r>
        <w:t xml:space="preserve"> </w:t>
      </w:r>
      <w:r>
        <w:t xml:space="preserve">(2024).</w:t>
      </w:r>
      <w:r>
        <w:t xml:space="preserve"> </w:t>
      </w:r>
      <w:r>
        <w:rPr>
          <w:i/>
          <w:iCs/>
        </w:rPr>
        <w:t xml:space="preserve">Secretaría de Modernización: Subsecretarías de Tecnologías, Sistemas y Gestión Operativa</w:t>
      </w:r>
      <w:r>
        <w:t xml:space="preserve">. Gobierno de la Ciudad de Neuquén. Disponible en:</w:t>
      </w:r>
      <w:r>
        <w:t xml:space="preserve"> </w:t>
      </w:r>
      <w:hyperlink r:id="rId42">
        <w:r>
          <w:rPr>
            <w:rStyle w:val="Hyperlink"/>
          </w:rPr>
          <w:t xml:space="preserve">https://www.neuquencapital.gov.ar/secretaria-de-modernizacion/</w:t>
        </w:r>
      </w:hyperlink>
      <w:r>
        <w:t xml:space="preserve"> </w:t>
      </w:r>
      <w:r>
        <w:t xml:space="preserve">(Acceso: Septiembre 2026).</w:t>
      </w:r>
    </w:p>
    <w:p>
      <w:pPr>
        <w:pStyle w:val="Compact"/>
        <w:numPr>
          <w:ilvl w:val="0"/>
          <w:numId w:val="1004"/>
        </w:numPr>
      </w:pPr>
      <w:r>
        <w:rPr>
          <w:b/>
          <w:bCs/>
        </w:rPr>
        <w:t xml:space="preserve">Municipalidad de Neuquén Capital</w:t>
      </w:r>
      <w:r>
        <w:t xml:space="preserve"> </w:t>
      </w:r>
      <w:r>
        <w:t xml:space="preserve">(2024).</w:t>
      </w:r>
      <w:r>
        <w:t xml:space="preserve"> </w:t>
      </w:r>
      <w:r>
        <w:rPr>
          <w:i/>
          <w:iCs/>
        </w:rPr>
        <w:t xml:space="preserve">Plataforma de Trámites Web y Ventanilla Ciudadana WebLogin</w:t>
      </w:r>
      <w:r>
        <w:t xml:space="preserve">. Disponible en:</w:t>
      </w:r>
      <w:r>
        <w:t xml:space="preserve"> </w:t>
      </w:r>
      <w:hyperlink r:id="rId43">
        <w:r>
          <w:rPr>
            <w:rStyle w:val="Hyperlink"/>
          </w:rPr>
          <w:t xml:space="preserve">https://weblogin.neuquencapital.gov.ar/</w:t>
        </w:r>
      </w:hyperlink>
      <w:r>
        <w:t xml:space="preserve"> </w:t>
      </w:r>
      <w:r>
        <w:t xml:space="preserve">(Acceso: Septiembre 2026).</w:t>
      </w:r>
    </w:p>
    <w:p>
      <w:pPr>
        <w:pStyle w:val="Compact"/>
        <w:numPr>
          <w:ilvl w:val="0"/>
          <w:numId w:val="1004"/>
        </w:numPr>
      </w:pPr>
      <w:r>
        <w:rPr>
          <w:b/>
          <w:bCs/>
        </w:rPr>
        <w:t xml:space="preserve">Sistema de Información Territorial Urbano de Neuquén (SITUN)</w:t>
      </w:r>
      <w:r>
        <w:t xml:space="preserve"> </w:t>
      </w:r>
      <w:r>
        <w:t xml:space="preserve">(2024).</w:t>
      </w:r>
      <w:r>
        <w:t xml:space="preserve"> </w:t>
      </w:r>
      <w:r>
        <w:rPr>
          <w:i/>
          <w:iCs/>
        </w:rPr>
        <w:t xml:space="preserve">Catastro digital y mapa interactivo georreferenciado</w:t>
      </w:r>
      <w:r>
        <w:t xml:space="preserve">. Disponible en:</w:t>
      </w:r>
      <w:r>
        <w:t xml:space="preserve"> </w:t>
      </w:r>
      <w:hyperlink r:id="rId44">
        <w:r>
          <w:rPr>
            <w:rStyle w:val="Hyperlink"/>
          </w:rPr>
          <w:t xml:space="preserve">https://situn.muninqn.gov.ar/</w:t>
        </w:r>
      </w:hyperlink>
      <w:r>
        <w:t xml:space="preserve"> </w:t>
      </w:r>
      <w:r>
        <w:t xml:space="preserve">(Acceso: Septiembre 2026).</w:t>
      </w:r>
    </w:p>
    <w:p>
      <w:pPr>
        <w:pStyle w:val="Compact"/>
        <w:numPr>
          <w:ilvl w:val="0"/>
          <w:numId w:val="1004"/>
        </w:numPr>
      </w:pPr>
      <w:r>
        <w:rPr>
          <w:b/>
          <w:bCs/>
        </w:rPr>
        <w:t xml:space="preserve">Centro Latinoamericano de Administración para el Desarrollo (CLAD)</w:t>
      </w:r>
      <w:r>
        <w:t xml:space="preserve"> </w:t>
      </w:r>
      <w:r>
        <w:t xml:space="preserve">(2016).</w:t>
      </w:r>
      <w:r>
        <w:t xml:space="preserve"> </w:t>
      </w:r>
      <w:r>
        <w:rPr>
          <w:i/>
          <w:iCs/>
        </w:rPr>
        <w:t xml:space="preserve">Carta Iberoamericana de Gobierno Abierto</w:t>
      </w:r>
      <w:r>
        <w:t xml:space="preserve">. Aprobada por la XVII Conferencia Iberoamericana de Ministras y Ministros de Administración Pública y Reforma del Estado.</w:t>
      </w:r>
    </w:p>
    <w:p>
      <w:pPr>
        <w:pStyle w:val="Compact"/>
        <w:numPr>
          <w:ilvl w:val="0"/>
          <w:numId w:val="1004"/>
        </w:numPr>
      </w:pPr>
      <w:r>
        <w:rPr>
          <w:b/>
          <w:bCs/>
        </w:rPr>
        <w:t xml:space="preserve">Organización para la Cooperación y el Desarrollo Económicos (OCDE)</w:t>
      </w:r>
      <w:r>
        <w:t xml:space="preserve"> </w:t>
      </w:r>
      <w:r>
        <w:t xml:space="preserve">(2020).</w:t>
      </w:r>
      <w:r>
        <w:t xml:space="preserve"> </w:t>
      </w:r>
      <w:r>
        <w:rPr>
          <w:i/>
          <w:iCs/>
        </w:rPr>
        <w:t xml:space="preserve">Recomendación del Consejo sobre Estrategias de Gobierno Digital</w:t>
      </w:r>
      <w:r>
        <w:t xml:space="preserve">. Publicaciones de la OCDE.</w:t>
      </w:r>
    </w:p>
    <w:p>
      <w:pPr>
        <w:pStyle w:val="FirstParagraph"/>
      </w:pPr>
      <w:bookmarkStart w:id="45" w:name="FinDocumento"/>
      <w:bookmarkEnd w:id="45"/>
    </w:p>
    <w:bookmarkEnd w:id="46"/>
    <w:sectPr>
      <w:headerReference r:id="rId9" w:type="default"/>
      <w:footerReference r:id="rId10" w:type="default"/>
      <w:headerReference r:id="rId11" w:type="first"/>
      <w:footerReference r:id="rId12" w:type="first"/>
      <w:footnotePr>
        <w:numRestart w:val="eachSect"/>
      </w:footnotePr>
      <w:pgMar w:bottom="1440" w:left="1440" w:right="1440" w:top="1440"/>
      <w:titlePg/>
      <w:pgNumType w:start="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tbl>
    <w:tblPr>
      <w:tblW w:w="9360" w:type="dxa"/>
      <w:jc w:val="center"/>
      <w:tblCellMar>
        <w:top w:w="80" w:type="dxa"/>
        <w:bottom w:w="40" w:type="dxa"/>
        <w:left w:w="60" w:type="dxa"/>
        <w:right w:w="60" w:type="dxa"/>
      </w:tblCellMar>
      <w:tblBorders>
        <w:top w:val="none"/>
        <w:left w:val="none"/>
        <w:bottom w:val="single" w:sz="8" w:space="4" w:color="94A3B8"/>
        <w:right w:val="none"/>
        <w:insideH w:val="none"/>
        <w:insideV w:val="none"/>
      </w:tblBorders>
    </w:tblPr>
    <w:tblGrid>
      <w:gridCol w:w="3500"/>
      <w:gridCol w:w="2360"/>
      <w:gridCol w:w="3500"/>
    </w:tblGrid>
    <w:tr>
      <w:tc>
        <w:tcPr>
          <w:tcW w:w="3500" w:type="dxa"/>
        </w:tcPr>
        <w:p>
          <w:pPr>
            <w:spacing w:before="60" w:after="0"/>
            <w:jc w:val="left"/>
          </w:pPr>
          <w:r>
            <w:rPr>
              <w:rFonts w:ascii="Arial" w:hAnsi="Arial"/>
              <w:color w:val="718096"/>
              <w:sz w:val="17"/>
            </w:rPr>
            <w:t>Políticas de Modernización del Estado</w:t>
          </w:r>
        </w:p>
      </w:tc>
      <w:tc>
        <w:tcPr>
          <w:tcW w:w="2360" w:type="dxa"/>
        </w:tcPr>
        <w:p>
          <w:pPr>
            <w:spacing w:before="45" w:after="0"/>
            <w:jc w:val="center"/>
          </w:pPr>
          <w:r>
            <w:drawing>
              <ns2:inline>
                <ns2:extent cx="130744" cy="133350"/>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1"/>
                        <ns3:stretch>
                          <ns3:fillRect/>
                        </ns3:stretch>
                      </ns4:blipFill>
                      <ns4:spPr>
                        <ns3:xfrm>
                          <ns3:off x="0" y="0"/>
                          <ns3:ext cx="130744" cy="133350"/>
                        </ns3:xfrm>
                        <ns3:prstGeom prst="rect"/>
                      </ns4:spPr>
                    </ns4:pic>
                  </ns3:graphicData>
                </ns3:graphic>
              </ns2:inline>
            </w:drawing>
          </w:r>
        </w:p>
      </w:tc>
      <w:tc>
        <w:tcPr>
          <w:tcW w:w="3500" w:type="dxa"/>
        </w:tcPr>
        <w:p>
          <w:pPr>
            <w:spacing w:before="60" w:after="0"/>
            <w:jc w:val="right"/>
          </w:pPr>
          <w:r>
            <w:rPr>
              <w:rFonts w:ascii="Arial" w:hAnsi="Arial"/>
              <w:color w:val="718096"/>
              <w:sz w:val="17"/>
            </w:rPr>
            <w:t xml:space="preserve">Página </w:t>
          </w:r>
          <w:fldSimple w:instr="PAGE">
            <w:r>
              <w:rPr>
                <w:rFonts w:ascii="Arial" w:hAnsi="Arial"/>
                <w:color w:val="718096"/>
                <w:sz w:val="17"/>
              </w:rP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El Instituto Nacional de la Administración Pública (INAP) fue creado por la Ley 20.173 y constituye el órgano rector de capacitación y estudios sobre la Administración Pública Nacional, funcionando bajo la órbita de la Secretaría de Transformación del Estado y Función Pública.</w:t>
      </w:r>
    </w:p>
  </w:footnote>
  <w:footnote w:id="32">
    <w:p>
      <w:pPr>
        <w:pStyle w:val="FootnoteText"/>
      </w:pPr>
      <w:r>
        <w:rPr>
          <w:rStyle w:val="FootnoteReference"/>
        </w:rPr>
        <w:footnoteRef/>
      </w:r>
      <w:r>
        <w:t xml:space="preserve"> </w:t>
      </w:r>
      <w:r>
        <w:t xml:space="preserve">El Sistema de Información Territorial Urbano de Neuquén (SITUN) integra la base de datos geográfica municipal, permitiendo la consulta abierta de mensuras, zonificación catastral, líneas de edificación e infraestructura de servicios en tiempo real.</w:t>
      </w:r>
    </w:p>
  </w:footnote>
  <w:footnote w:id="33">
    <w:p>
      <w:pPr>
        <w:pStyle w:val="FootnoteText"/>
      </w:pPr>
      <w:r>
        <w:rPr>
          <w:rStyle w:val="FootnoteReference"/>
        </w:rPr>
        <w:footnoteRef/>
      </w:r>
      <w:r>
        <w:t xml:space="preserve"> </w:t>
      </w:r>
      <w:r>
        <w:t xml:space="preserve">El Polo Científico Tecnológico de la Ciudad de Neuquén articula al Estado municipal con la Universidad Nacional del Comahue (UNCo) y el sector privado de la cuenca Vaca Muerta para el fomento de la industria del software, la robótica y las energías limpias.</w:t>
      </w:r>
    </w:p>
  </w:footnote>
  <w:footnote w:id="37">
    <w:p>
      <w:pPr>
        <w:pStyle w:val="FootnoteText"/>
      </w:pPr>
      <w:r>
        <w:rPr>
          <w:rStyle w:val="FootnoteReference"/>
        </w:rPr>
        <w:footnoteRef/>
      </w:r>
      <w:r>
        <w:t xml:space="preserve"> </w:t>
      </w:r>
      <w:r>
        <w:t xml:space="preserve">El marco federal de interoperabilidad se sustenta en los lineamientos del Decreto 87/2017 y estándares de intercambio seguro de datos mediante APIs gubernamentales, cuya implementación en las administraciones municipales del interior todavía enfrenta asimetrías técnicas y convenios pendientes de homologación recíproca.</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4" w:color="CBD5E1"/>
      </w:pBdr>
    </w:pPr>
    <w:r/>
    <w:r>
      <w:rPr>
        <w:rFonts w:ascii="Arial" w:hAnsi="Arial"/>
        <w:b/>
        <w:color w:val="718096"/>
        <w:sz w:val="17"/>
      </w:rPr>
      <w:t xml:space="preserve">CURZAS · Universidad Nacional del Comahue    |    </w:t>
    </w:r>
    <w:r>
      <w:rPr>
        <w:rFonts w:ascii="Arial" w:hAnsi="Arial"/>
        <w:color w:val="718096"/>
        <w:sz w:val="17"/>
      </w:rPr>
      <w:t>Tecnología de la Información para la Gestión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jc w:val="both"/>
    </w:pPr>
    <w:rPr>
      <w:rFonts w:ascii="Arial" w:hAnsi="Arial"/>
      <w:color w:val="2D3748"/>
      <w:sz w:val="21"/>
    </w:rPr>
  </w:style>
  <w:style w:styleId="BodyText" w:type="paragraph">
    <w:name w:val="Body Text"/>
    <w:basedOn w:val="Normal"/>
    <w:link w:val="BodyTextChar"/>
    <w:qFormat/>
    <w:pPr>
      <w:spacing w:after="120" w:before="180" w:line="300" w:lineRule="auto"/>
      <w:jc w:val="both"/>
    </w:pPr>
    <w:rPr>
      <w:rFonts w:ascii="Arial" w:hAnsi="Arial"/>
      <w:color w:val="2D3748"/>
      <w:sz w:val="21"/>
    </w:rPr>
  </w:style>
  <w:style w:customStyle="1" w:styleId="FirstParagraph" w:type="paragraph">
    <w:name w:val="First Paragraph"/>
    <w:basedOn w:val="BodyText"/>
    <w:next w:val="BodyText"/>
    <w:qFormat/>
    <w:pPr>
      <w:spacing w:after="120" w:line="300" w:lineRule="auto"/>
      <w:jc w:val="both"/>
    </w:pPr>
    <w:rPr>
      <w:rFonts w:ascii="Arial" w:hAnsi="Arial"/>
      <w:color w:val="2D3748"/>
      <w:sz w:val="21"/>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200" w:line="276" w:lineRule="auto"/>
      <w:contextualSpacing/>
      <w:jc w:val="left"/>
    </w:pPr>
    <w:rPr>
      <w:rFonts w:ascii="Arial" w:asciiTheme="majorHAnsi" w:cstheme="majorBidi" w:eastAsiaTheme="majorEastAsia" w:hAnsi="Arial" w:hAnsiTheme="majorHAnsi"/>
      <w:b/>
      <w:color w:val="1A365D"/>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20" w:before="0" w:line="276" w:lineRule="auto"/>
      <w:jc w:val="left"/>
    </w:pPr>
    <w:rPr>
      <w:rFonts w:ascii="Arial" w:cstheme="majorBidi" w:eastAsiaTheme="majorEastAsia" w:hAnsi="Arial"/>
      <w:i/>
      <w:color w:val="4A5568"/>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asciiTheme="majorHAnsi" w:cstheme="majorBidi" w:eastAsiaTheme="majorEastAsia" w:hAnsi="Arial" w:hAnsiTheme="majorHAnsi"/>
      <w:b/>
      <w:color w:val="1A365D"/>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60"/>
      <w:outlineLvl w:val="1"/>
    </w:pPr>
    <w:rPr>
      <w:rFonts w:ascii="Arial" w:asciiTheme="majorHAnsi" w:cstheme="majorBidi" w:eastAsiaTheme="majorEastAsia" w:hAnsi="Arial" w:hAnsiTheme="majorHAnsi"/>
      <w:b/>
      <w:color w:val="0E6873"/>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Arial" w:cstheme="majorBidi" w:eastAsiaTheme="majorEastAsia" w:hAnsi="Arial"/>
      <w:b/>
      <w:color w:val="2D3748"/>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left"/>
    </w:pPr>
  </w:style>
  <w:style w:customStyle="1" w:styleId="Figure" w:type="paragraph">
    <w:name w:val="Figure"/>
    <w:basedOn w:val="Normal"/>
    <w:pPr>
      <w:spacing w:after="160" w:before="80"/>
      <w:jc w:val="center"/>
    </w:pPr>
  </w:style>
  <w:style w:customStyle="1" w:styleId="CaptionedFigure" w:type="paragraph">
    <w:name w:val="Captioned Figure"/>
    <w:basedOn w:val="Figure"/>
    <w:pPr>
      <w:keepNext/>
      <w:spacing w:after="160" w:before="8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header1.xml" Type="http://schemas.openxmlformats.org/officeDocument/2006/relationships/header" /><Relationship Id="rId10" Target="footer1.xml" Type="http://schemas.openxmlformats.org/officeDocument/2006/relationships/footer" /><Relationship Id="rId11" Target="header2.xml" Type="http://schemas.openxmlformats.org/officeDocument/2006/relationships/header" /><Relationship Id="rId12" Target="footer2.xml" Type="http://schemas.openxmlformats.org/officeDocument/2006/relationships/footer" /><Relationship Type="http://schemas.openxmlformats.org/officeDocument/2006/relationships/image" Id="rId21" Target="media/rId21.png" /><Relationship Type="http://schemas.openxmlformats.org/officeDocument/2006/relationships/hyperlink" Id="rId44" Target="https://situn.muninqn.gov.ar/" TargetMode="External" /><Relationship Type="http://schemas.openxmlformats.org/officeDocument/2006/relationships/hyperlink" Id="rId43" Target="https://weblogin.neuquencapital.gov.ar/" TargetMode="External" /><Relationship Type="http://schemas.openxmlformats.org/officeDocument/2006/relationships/hyperlink" Id="rId41" Target="https://www.argentina.gob.ar/modernizacion/inap/observatorio/lineas-investigacion/modernizacion-del-estado" TargetMode="External" /><Relationship Type="http://schemas.openxmlformats.org/officeDocument/2006/relationships/hyperlink" Id="rId42" Target="https://www.neuquencapital.gov.ar/secretaria-de-modernizacion/"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44" Target="https://situn.muninqn.gov.ar/" TargetMode="External" /><Relationship Type="http://schemas.openxmlformats.org/officeDocument/2006/relationships/hyperlink" Id="rId43" Target="https://weblogin.neuquencapital.gov.ar/" TargetMode="External" /><Relationship Type="http://schemas.openxmlformats.org/officeDocument/2006/relationships/hyperlink" Id="rId41" Target="https://www.argentina.gob.ar/modernizacion/inap/observatorio/lineas-investigacion/modernizacion-del-estado" TargetMode="External" /><Relationship Type="http://schemas.openxmlformats.org/officeDocument/2006/relationships/hyperlink" Id="rId42" Target="https://www.neuquencapital.gov.ar/secretaria-de-modernizac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2026-09-16T16:25:53Z</dcterms:created>
  <dcterms:modified xsi:type="dcterms:W3CDTF">2026-09-16T16:25:53Z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Tabla de contenidos</vt:lpwstr>
  </property>
</Properties>
</file>