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Qdrant 索引结构</w:t>
      </w:r>
    </w:p>
    <w:p>
      <w:pPr>
        <w:pStyle w:val="Heading2"/>
      </w:pPr>
      <w:r>
        <w:t>文档目的</w:t>
      </w:r>
    </w:p>
    <w:p>
      <w:r>
        <w:t>本文档定义 HexDoc 企业协作平台中“Qdrant 索引结构”的统一规则。规则编号为 KNOWLEDGE-028，适用于生产、预发布和演示租户。任何自动化任务都必须记录规则编号、操作人和执行时间。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KNOWLEDGE-028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KNOWLEDGE-028-E1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Qdrant 索引结构。若租户为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