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文档访问边界</w:t>
      </w:r>
    </w:p>
    <w:p>
      <w:pPr>
        <w:pStyle w:val="Heading2"/>
      </w:pPr>
      <w:r>
        <w:t>文档目的</w:t>
      </w:r>
    </w:p>
    <w:p>
      <w:r>
        <w:t>本文档定义 HexDoc 企业协作平台中“文档访问边界”的统一规则。规则编号为 DOCUMENT-024，适用于生产、预发布和演示租户。任何自动化任务都必须记录规则编号、操作人和执行时间。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DOCUMENT-024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DOCUMENT-024-E1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文档访问边界。若租户为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