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跨租户访问限制</w:t>
      </w:r>
    </w:p>
    <w:p>
      <w:pPr>
        <w:pStyle w:val="Heading2"/>
      </w:pPr>
      <w:r>
        <w:t>文档目的</w:t>
      </w:r>
    </w:p>
    <w:p>
      <w:r>
        <w:t>本文档定义 HexDoc 企业协作平台中“跨租户访问限制”的统一规则。规则编号为 MEMBERSHIP-008，适用于生产、预发布和演示租户。任何自动化任务都必须记录规则编号、操作人和执行时间。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MEMBERSHIP-008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MEMBERSHIP-008-E1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跨租户访问限制。若租户为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