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A05465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2D188A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2D188A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2D188A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deberá concebirse para </w:t>
      </w:r>
      <w:r w:rsidR="00A360B8">
        <w:rPr>
          <w:rFonts w:ascii="Calibri" w:hAnsi="Calibri" w:cs="Arial"/>
          <w:bCs/>
          <w:lang w:val="es-MX"/>
        </w:rPr>
        <w:t xml:space="preserve">operar en un entorno </w:t>
      </w:r>
      <w:r w:rsidR="00417DB8" w:rsidRPr="00A360B8">
        <w:rPr>
          <w:rFonts w:ascii="Calibri" w:hAnsi="Calibri" w:cs="Arial"/>
          <w:bCs/>
          <w:color w:val="FFFFFF" w:themeColor="background1"/>
          <w:highlight w:val="red"/>
          <w:lang w:val="es-MX"/>
        </w:rPr>
        <w:t>múlti</w:t>
      </w:r>
      <w:r w:rsidR="00417DB8">
        <w:rPr>
          <w:rFonts w:ascii="Calibri" w:hAnsi="Calibri" w:cs="Arial"/>
          <w:bCs/>
          <w:color w:val="FFFFFF" w:themeColor="background1"/>
          <w:highlight w:val="red"/>
          <w:lang w:val="es-MX"/>
        </w:rPr>
        <w:t xml:space="preserve">ples </w:t>
      </w:r>
      <w:r w:rsidR="00A360B8" w:rsidRPr="00A360B8">
        <w:rPr>
          <w:rFonts w:ascii="Calibri" w:hAnsi="Calibri" w:cs="Arial"/>
          <w:bCs/>
          <w:color w:val="FFFFFF" w:themeColor="background1"/>
          <w:highlight w:val="red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Recibida</w:t>
      </w:r>
      <w:r w:rsidR="00A05465">
        <w:rPr>
          <w:rFonts w:ascii="Arial" w:hAnsi="Arial" w:cs="Arial"/>
          <w:szCs w:val="32"/>
          <w:lang w:val="es-MX"/>
        </w:rPr>
        <w:t>s</w:t>
      </w:r>
      <w:r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  <w:r w:rsidR="009F5ADB">
        <w:rPr>
          <w:rFonts w:ascii="Arial" w:hAnsi="Arial" w:cs="Arial"/>
          <w:szCs w:val="32"/>
          <w:lang w:val="es-MX"/>
        </w:rPr>
        <w:t xml:space="preserve"> (</w:t>
      </w:r>
      <w:r w:rsidR="0014552D">
        <w:rPr>
          <w:rFonts w:ascii="Arial" w:hAnsi="Arial" w:cs="Arial"/>
          <w:szCs w:val="32"/>
          <w:lang w:val="es-MX"/>
        </w:rPr>
        <w:t>¿</w:t>
      </w:r>
      <w:r w:rsidR="009F5ADB" w:rsidRPr="000C7F43">
        <w:rPr>
          <w:rFonts w:ascii="Arial" w:hAnsi="Arial" w:cs="Arial"/>
          <w:szCs w:val="32"/>
          <w:highlight w:val="yellow"/>
          <w:lang w:val="es-MX"/>
        </w:rPr>
        <w:t>Cómo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 xml:space="preserve"> se maneja?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  <w:r w:rsidR="00AF5455">
        <w:rPr>
          <w:rFonts w:ascii="Arial" w:hAnsi="Arial" w:cs="Arial"/>
          <w:szCs w:val="32"/>
          <w:lang w:val="es-MX"/>
        </w:rPr>
        <w:t xml:space="preserve"> (</w:t>
      </w:r>
      <w:r w:rsidR="00AF5455" w:rsidRPr="00AF5455">
        <w:rPr>
          <w:rFonts w:ascii="Arial" w:hAnsi="Arial" w:cs="Arial"/>
          <w:szCs w:val="32"/>
          <w:highlight w:val="yellow"/>
          <w:lang w:val="es-MX"/>
        </w:rPr>
        <w:t>¿Cómo se va a manejar?</w:t>
      </w:r>
      <w:r w:rsidR="00AF5455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FD2" w:rsidRDefault="00AB1FD2">
      <w:r>
        <w:separator/>
      </w:r>
    </w:p>
  </w:endnote>
  <w:endnote w:type="continuationSeparator" w:id="1">
    <w:p w:rsidR="00AB1FD2" w:rsidRDefault="00AB1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2D18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2D188A">
        <w:fldChar w:fldCharType="begin"/>
      </w:r>
      <w:r>
        <w:instrText xml:space="preserve"> DATE \@ "MM/dd/yyyy" </w:instrText>
      </w:r>
    </w:ins>
    <w:r w:rsidR="002D188A">
      <w:fldChar w:fldCharType="separate"/>
    </w:r>
    <w:r w:rsidR="00A05465">
      <w:rPr>
        <w:noProof/>
      </w:rPr>
      <w:t>07/28/2014</w:t>
    </w:r>
    <w:ins w:id="8" w:author="Dell Burner" w:date="2002-06-23T22:49:00Z">
      <w:r w:rsidR="002D188A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2D18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546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2D188A">
        <w:fldChar w:fldCharType="begin"/>
      </w:r>
      <w:r>
        <w:instrText xml:space="preserve"> DATE \@ "MM/dd/yyyy" </w:instrText>
      </w:r>
    </w:ins>
    <w:r w:rsidR="002D188A">
      <w:fldChar w:fldCharType="separate"/>
    </w:r>
    <w:r w:rsidR="00A05465">
      <w:rPr>
        <w:noProof/>
      </w:rPr>
      <w:t>07/28/2014</w:t>
    </w:r>
    <w:ins w:id="52" w:author="Dell Burner" w:date="2002-06-23T22:49:00Z">
      <w:r w:rsidR="002D188A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FD2" w:rsidRDefault="00AB1FD2">
      <w:r>
        <w:separator/>
      </w:r>
    </w:p>
  </w:footnote>
  <w:footnote w:type="continuationSeparator" w:id="1">
    <w:p w:rsidR="00AB1FD2" w:rsidRDefault="00AB1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576C"/>
    <w:rsid w:val="002759DF"/>
    <w:rsid w:val="00292394"/>
    <w:rsid w:val="002936F8"/>
    <w:rsid w:val="002949D1"/>
    <w:rsid w:val="002A02CC"/>
    <w:rsid w:val="002B3FF2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7FED"/>
    <w:rsid w:val="009B3F16"/>
    <w:rsid w:val="009B4038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1963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12740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19</cp:revision>
  <cp:lastPrinted>2013-02-26T18:24:00Z</cp:lastPrinted>
  <dcterms:created xsi:type="dcterms:W3CDTF">2013-02-27T05:20:00Z</dcterms:created>
  <dcterms:modified xsi:type="dcterms:W3CDTF">2014-07-28T22:21:00Z</dcterms:modified>
</cp:coreProperties>
</file>