
<file path=[Content_Types].xml><?xml version="1.0" encoding="utf-8"?>
<Types xmlns="http://schemas.openxmlformats.org/package/2006/content-types">
  <Default ContentType="image/jpeg" Extension="jpg"/>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ind w:right="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59258" cy="1906382"/>
            <wp:effectExtent b="0" l="0" r="0" t="0"/>
            <wp:docPr descr="Universidad Nacional Mayor de San Marcos - UNMSM en Lima" id="1" name="image1.jpg"/>
            <a:graphic>
              <a:graphicData uri="http://schemas.openxmlformats.org/drawingml/2006/picture">
                <pic:pic>
                  <pic:nvPicPr>
                    <pic:cNvPr descr="Universidad Nacional Mayor de San Marcos - UNMSM en Lima" id="0" name="image1.jpg"/>
                    <pic:cNvPicPr preferRelativeResize="0"/>
                  </pic:nvPicPr>
                  <pic:blipFill>
                    <a:blip r:embed="rId6"/>
                    <a:srcRect b="22239" l="15839" r="16479" t="0"/>
                    <a:stretch>
                      <a:fillRect/>
                    </a:stretch>
                  </pic:blipFill>
                  <pic:spPr>
                    <a:xfrm>
                      <a:off x="0" y="0"/>
                      <a:ext cx="1659258" cy="19063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right="5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Mayor de San Marcos</w:t>
      </w:r>
    </w:p>
    <w:p w:rsidR="00000000" w:rsidDel="00000000" w:rsidP="00000000" w:rsidRDefault="00000000" w:rsidRPr="00000000" w14:paraId="00000003">
      <w:pPr>
        <w:spacing w:line="360" w:lineRule="auto"/>
        <w:ind w:right="5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w:t>
      </w:r>
    </w:p>
    <w:p w:rsidR="00000000" w:rsidDel="00000000" w:rsidP="00000000" w:rsidRDefault="00000000" w:rsidRPr="00000000" w14:paraId="00000004">
      <w:pPr>
        <w:spacing w:line="360" w:lineRule="auto"/>
        <w:ind w:right="5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Ingeniería de Software</w:t>
      </w:r>
    </w:p>
    <w:p w:rsidR="00000000" w:rsidDel="00000000" w:rsidP="00000000" w:rsidRDefault="00000000" w:rsidRPr="00000000" w14:paraId="00000005">
      <w:pPr>
        <w:spacing w:line="360" w:lineRule="auto"/>
        <w:ind w:right="5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 II</w:t>
      </w:r>
    </w:p>
    <w:p w:rsidR="00000000" w:rsidDel="00000000" w:rsidP="00000000" w:rsidRDefault="00000000" w:rsidRPr="00000000" w14:paraId="00000006">
      <w:pPr>
        <w:spacing w:line="480" w:lineRule="auto"/>
        <w:ind w:right="5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ind w:right="5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ind w:right="5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lineRule="auto"/>
        <w:ind w:right="574.133858267717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Perfil de Proyecto de Software</w:t>
      </w:r>
    </w:p>
    <w:p w:rsidR="00000000" w:rsidDel="00000000" w:rsidP="00000000" w:rsidRDefault="00000000" w:rsidRPr="00000000" w14:paraId="0000000A">
      <w:pPr>
        <w:spacing w:line="480" w:lineRule="auto"/>
        <w:ind w:right="574.1338582677173"/>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ind w:right="574.1338582677173"/>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ind w:right="574.1338582677173"/>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ind w:right="574.13385826771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Chávez Soto, Jorge Luis</w:t>
      </w:r>
    </w:p>
    <w:p w:rsidR="00000000" w:rsidDel="00000000" w:rsidP="00000000" w:rsidRDefault="00000000" w:rsidRPr="00000000" w14:paraId="0000000E">
      <w:pPr>
        <w:spacing w:line="480" w:lineRule="auto"/>
        <w:ind w:right="574.133858267717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10</w:t>
      </w:r>
    </w:p>
    <w:p w:rsidR="00000000" w:rsidDel="00000000" w:rsidP="00000000" w:rsidRDefault="00000000" w:rsidRPr="00000000" w14:paraId="0000000F">
      <w:pPr>
        <w:spacing w:line="480" w:lineRule="auto"/>
        <w:ind w:right="574.133858267717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 2</w:t>
      </w:r>
    </w:p>
    <w:p w:rsidR="00000000" w:rsidDel="00000000" w:rsidP="00000000" w:rsidRDefault="00000000" w:rsidRPr="00000000" w14:paraId="00000010">
      <w:pPr>
        <w:spacing w:line="480" w:lineRule="auto"/>
        <w:ind w:right="574.133858267717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11">
      <w:pPr>
        <w:numPr>
          <w:ilvl w:val="0"/>
          <w:numId w:val="1"/>
        </w:numPr>
        <w:spacing w:line="480" w:lineRule="auto"/>
        <w:ind w:right="574.13385826771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Huaripata Huaccha, Héctor Rodrigo Manuel</w:t>
      </w:r>
    </w:p>
    <w:p w:rsidR="00000000" w:rsidDel="00000000" w:rsidP="00000000" w:rsidRDefault="00000000" w:rsidRPr="00000000" w14:paraId="00000012">
      <w:pPr>
        <w:numPr>
          <w:ilvl w:val="0"/>
          <w:numId w:val="1"/>
        </w:numPr>
        <w:spacing w:line="480" w:lineRule="auto"/>
        <w:ind w:right="574.133858267717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Jimenez Vera Angie Danna</w:t>
      </w:r>
    </w:p>
    <w:p w:rsidR="00000000" w:rsidDel="00000000" w:rsidP="00000000" w:rsidRDefault="00000000" w:rsidRPr="00000000" w14:paraId="00000013">
      <w:pPr>
        <w:spacing w:line="480" w:lineRule="auto"/>
        <w:ind w:right="574.133858267717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right="574.1338582677173"/>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right="570"/>
        <w:jc w:val="center"/>
        <w:rPr>
          <w:b w:val="1"/>
        </w:rPr>
      </w:pPr>
      <w:r w:rsidDel="00000000" w:rsidR="00000000" w:rsidRPr="00000000">
        <w:rPr>
          <w:rFonts w:ascii="Times New Roman" w:cs="Times New Roman" w:eastAsia="Times New Roman" w:hAnsi="Times New Roman"/>
          <w:b w:val="1"/>
          <w:sz w:val="24"/>
          <w:szCs w:val="24"/>
          <w:rtl w:val="0"/>
        </w:rPr>
        <w:t xml:space="preserve">Septiembre 2025</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Perfil de Proyecto: Plataforma de Automatización de Citas Médicas Digitales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Título del Proyecto: </w:t>
      </w:r>
      <w:r w:rsidDel="00000000" w:rsidR="00000000" w:rsidRPr="00000000">
        <w:rPr>
          <w:rtl w:val="0"/>
        </w:rPr>
        <w:t xml:space="preserve">Sistema de Gestión Automatizada y Virtual de Citas (SIGAVC) para el Seguro Social de Salud.</w:t>
      </w:r>
    </w:p>
    <w:p w:rsidR="00000000" w:rsidDel="00000000" w:rsidP="00000000" w:rsidRDefault="00000000" w:rsidRPr="00000000" w14:paraId="00000019">
      <w:pPr>
        <w:rPr/>
      </w:pPr>
      <w:r w:rsidDel="00000000" w:rsidR="00000000" w:rsidRPr="00000000">
        <w:rPr>
          <w:b w:val="1"/>
          <w:rtl w:val="0"/>
        </w:rPr>
        <w:t xml:space="preserve">Nombre Clave/Comercial: </w:t>
      </w:r>
      <w:r w:rsidDel="00000000" w:rsidR="00000000" w:rsidRPr="00000000">
        <w:rPr>
          <w:rtl w:val="0"/>
        </w:rPr>
        <w:t xml:space="preserve">MediCita / Salud Conecta.</w:t>
      </w:r>
    </w:p>
    <w:p w:rsidR="00000000" w:rsidDel="00000000" w:rsidP="00000000" w:rsidRDefault="00000000" w:rsidRPr="00000000" w14:paraId="0000001A">
      <w:pPr>
        <w:rPr/>
      </w:pPr>
      <w:r w:rsidDel="00000000" w:rsidR="00000000" w:rsidRPr="00000000">
        <w:rPr>
          <w:b w:val="1"/>
          <w:rtl w:val="0"/>
        </w:rPr>
        <w:t xml:space="preserve">Entidad Solicitante: </w:t>
      </w:r>
      <w:r w:rsidDel="00000000" w:rsidR="00000000" w:rsidRPr="00000000">
        <w:rPr>
          <w:rtl w:val="0"/>
        </w:rPr>
        <w:t xml:space="preserve">Seguro Integral de Salud - SIS.</w:t>
      </w:r>
    </w:p>
    <w:p w:rsidR="00000000" w:rsidDel="00000000" w:rsidP="00000000" w:rsidRDefault="00000000" w:rsidRPr="00000000" w14:paraId="0000001B">
      <w:pPr>
        <w:rPr/>
      </w:pPr>
      <w:r w:rsidDel="00000000" w:rsidR="00000000" w:rsidRPr="00000000">
        <w:rPr>
          <w:b w:val="1"/>
          <w:rtl w:val="0"/>
        </w:rPr>
        <w:t xml:space="preserve">Empresa Ejecutora: </w:t>
      </w:r>
      <w:r w:rsidDel="00000000" w:rsidR="00000000" w:rsidRPr="00000000">
        <w:rPr>
          <w:rtl w:val="0"/>
        </w:rPr>
        <w:t xml:space="preserve">Data Services S.A.C.</w:t>
      </w:r>
    </w:p>
    <w:p w:rsidR="00000000" w:rsidDel="00000000" w:rsidP="00000000" w:rsidRDefault="00000000" w:rsidRPr="00000000" w14:paraId="0000001C">
      <w:pPr>
        <w:rPr/>
      </w:pPr>
      <w:r w:rsidDel="00000000" w:rsidR="00000000" w:rsidRPr="00000000">
        <w:rPr>
          <w:b w:val="1"/>
          <w:rtl w:val="0"/>
        </w:rPr>
        <w:t xml:space="preserve">Fecha de Inicio Estimada:</w:t>
      </w:r>
      <w:r w:rsidDel="00000000" w:rsidR="00000000" w:rsidRPr="00000000">
        <w:rPr>
          <w:rtl w:val="0"/>
        </w:rPr>
        <w:t xml:space="preserve"> 20 de septiembre de 2025</w:t>
      </w:r>
    </w:p>
    <w:p w:rsidR="00000000" w:rsidDel="00000000" w:rsidP="00000000" w:rsidRDefault="00000000" w:rsidRPr="00000000" w14:paraId="0000001D">
      <w:pPr>
        <w:rPr/>
      </w:pPr>
      <w:r w:rsidDel="00000000" w:rsidR="00000000" w:rsidRPr="00000000">
        <w:rPr>
          <w:b w:val="1"/>
          <w:rtl w:val="0"/>
        </w:rPr>
        <w:t xml:space="preserve">Fecha de Entrega: </w:t>
      </w:r>
      <w:r w:rsidDel="00000000" w:rsidR="00000000" w:rsidRPr="00000000">
        <w:rPr>
          <w:rtl w:val="0"/>
        </w:rPr>
        <w:t xml:space="preserve">02 de diciembre de 2025</w:t>
      </w:r>
    </w:p>
    <w:p w:rsidR="00000000" w:rsidDel="00000000" w:rsidP="00000000" w:rsidRDefault="00000000" w:rsidRPr="00000000" w14:paraId="0000001E">
      <w:pPr>
        <w:rPr/>
      </w:pPr>
      <w:r w:rsidDel="00000000" w:rsidR="00000000" w:rsidRPr="00000000">
        <w:rPr>
          <w:b w:val="1"/>
          <w:rtl w:val="0"/>
        </w:rPr>
        <w:t xml:space="preserve">Presupuesto Asignado: </w:t>
      </w:r>
      <w:r w:rsidDel="00000000" w:rsidR="00000000" w:rsidRPr="00000000">
        <w:rPr>
          <w:rtl w:val="0"/>
        </w:rPr>
        <w:t xml:space="preserve">S/. 30,000.00 (Treinta Mil y 00/100 Soles)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Descripción</w:t>
      </w:r>
    </w:p>
    <w:p w:rsidR="00000000" w:rsidDel="00000000" w:rsidP="00000000" w:rsidRDefault="00000000" w:rsidRPr="00000000" w14:paraId="00000022">
      <w:pPr>
        <w:rPr/>
      </w:pPr>
      <w:r w:rsidDel="00000000" w:rsidR="00000000" w:rsidRPr="00000000">
        <w:rPr>
          <w:rtl w:val="0"/>
        </w:rPr>
        <w:t xml:space="preserve">El proyecto consiste en el desarrollo e implementación de una Plataforma de Reservación de Citas Médicas Digitales (e-Scheduling). Esta plataforma buscará integrar y automatizar el proceso de agendamiento de citas del Seguro Social, migrando la interacción de los canales tradicionales (presencial/telefónico) a un entorno virtual y accesible, garantizando la trazabilidad y eficiencia de la gestión.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Módulos clave</w:t>
      </w: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Módulo Web/App Móvil para la autogestión de citas por parte del asegurado.</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Módulo de Interconexión (API) con los sistemas de información hospitalaria existentes (HIS/L.I.S.) para validar disponibilidad de horarios y médicos.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Sistema de Notificaciones Automatizadas (SMS/Email) para la confirmación, recordatorios, y seguimiento del estado de la cita.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u w:val="single"/>
          <w:rtl w:val="0"/>
        </w:rPr>
        <w:t xml:space="preserve">Caso de negocio</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Problemática</w:t>
      </w:r>
    </w:p>
    <w:p w:rsidR="00000000" w:rsidDel="00000000" w:rsidP="00000000" w:rsidRDefault="00000000" w:rsidRPr="00000000" w14:paraId="0000002B">
      <w:pPr>
        <w:rPr/>
      </w:pPr>
      <w:r w:rsidDel="00000000" w:rsidR="00000000" w:rsidRPr="00000000">
        <w:rPr>
          <w:rtl w:val="0"/>
        </w:rPr>
        <w:t xml:space="preserve">La operativa actual del Sistema Nacional de Salud adolece de una baja eficiencia en la gestión de la demanda ambulatoria, manifestada en:</w:t>
      </w:r>
    </w:p>
    <w:p w:rsidR="00000000" w:rsidDel="00000000" w:rsidP="00000000" w:rsidRDefault="00000000" w:rsidRPr="00000000" w14:paraId="0000002C">
      <w:pPr>
        <w:numPr>
          <w:ilvl w:val="0"/>
          <w:numId w:val="4"/>
        </w:numPr>
        <w:ind w:left="720" w:hanging="360"/>
        <w:rPr>
          <w:u w:val="none"/>
        </w:rPr>
      </w:pPr>
      <w:r w:rsidDel="00000000" w:rsidR="00000000" w:rsidRPr="00000000">
        <w:rPr>
          <w:b w:val="1"/>
          <w:rtl w:val="0"/>
        </w:rPr>
        <w:t xml:space="preserve">Saturación de Canales Físicos:</w:t>
      </w:r>
      <w:r w:rsidDel="00000000" w:rsidR="00000000" w:rsidRPr="00000000">
        <w:rPr>
          <w:rtl w:val="0"/>
        </w:rPr>
        <w:t xml:space="preserve"> La dependencia de la reserva presencial genera tiempos de espera excesivos y congestión en los centros de atención primaria.</w:t>
      </w:r>
    </w:p>
    <w:p w:rsidR="00000000" w:rsidDel="00000000" w:rsidP="00000000" w:rsidRDefault="00000000" w:rsidRPr="00000000" w14:paraId="0000002D">
      <w:pPr>
        <w:numPr>
          <w:ilvl w:val="0"/>
          <w:numId w:val="4"/>
        </w:numPr>
        <w:ind w:left="720" w:hanging="360"/>
        <w:rPr>
          <w:u w:val="none"/>
        </w:rPr>
      </w:pPr>
      <w:r w:rsidDel="00000000" w:rsidR="00000000" w:rsidRPr="00000000">
        <w:rPr>
          <w:b w:val="1"/>
          <w:rtl w:val="0"/>
        </w:rPr>
        <w:t xml:space="preserve">Retraso en la Atención:</w:t>
      </w:r>
      <w:r w:rsidDel="00000000" w:rsidR="00000000" w:rsidRPr="00000000">
        <w:rPr>
          <w:rtl w:val="0"/>
        </w:rPr>
        <w:t xml:space="preserve"> Los indicadores de Oportunidad de Cita se encuentran por debajo de los estándares óptimos, impactando negativamente la calidad del servicio.</w:t>
      </w:r>
    </w:p>
    <w:p w:rsidR="00000000" w:rsidDel="00000000" w:rsidP="00000000" w:rsidRDefault="00000000" w:rsidRPr="00000000" w14:paraId="0000002E">
      <w:pPr>
        <w:numPr>
          <w:ilvl w:val="0"/>
          <w:numId w:val="4"/>
        </w:numPr>
        <w:ind w:left="720" w:hanging="360"/>
        <w:rPr>
          <w:u w:val="none"/>
        </w:rPr>
      </w:pPr>
      <w:r w:rsidDel="00000000" w:rsidR="00000000" w:rsidRPr="00000000">
        <w:rPr>
          <w:b w:val="1"/>
          <w:rtl w:val="0"/>
        </w:rPr>
        <w:t xml:space="preserve">Déficit de Comunicación:</w:t>
      </w:r>
      <w:r w:rsidDel="00000000" w:rsidR="00000000" w:rsidRPr="00000000">
        <w:rPr>
          <w:rtl w:val="0"/>
        </w:rPr>
        <w:t xml:space="preserve"> Ausencia de un sistema unificado de recordatorios, lo que contribuye a una alta tasa de inasistencia (No-Show) a las citas, subutilizando los recursos médicos.</w:t>
      </w:r>
    </w:p>
    <w:p w:rsidR="00000000" w:rsidDel="00000000" w:rsidP="00000000" w:rsidRDefault="00000000" w:rsidRPr="00000000" w14:paraId="0000002F">
      <w:pPr>
        <w:ind w:left="0" w:firstLine="0"/>
        <w:rPr>
          <w:b w:val="1"/>
        </w:rPr>
      </w:pPr>
      <w:r w:rsidDel="00000000" w:rsidR="00000000" w:rsidRPr="00000000">
        <w:rPr>
          <w:b w:val="1"/>
          <w:rtl w:val="0"/>
        </w:rPr>
        <w:t xml:space="preserve">Valor estratégico</w:t>
      </w:r>
    </w:p>
    <w:p w:rsidR="00000000" w:rsidDel="00000000" w:rsidP="00000000" w:rsidRDefault="00000000" w:rsidRPr="00000000" w14:paraId="00000030">
      <w:pPr>
        <w:ind w:left="0" w:firstLine="0"/>
        <w:rPr/>
      </w:pPr>
      <w:r w:rsidDel="00000000" w:rsidR="00000000" w:rsidRPr="00000000">
        <w:rPr>
          <w:rtl w:val="0"/>
        </w:rPr>
        <w:t xml:space="preserve">La implementación de este Sistema de Gestión de Citas (SGC) se justifica en la necesidad de modernizar la Infraestructura Tecnológica de la Salud. Permitirá una transformación digital enfocada en la experiencia del usuario, optimizando los recursos operativos mediante la automatización de procesos y la reducción de la carga administrativa del personal de salud.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Objetivos</w:t>
      </w:r>
    </w:p>
    <w:p w:rsidR="00000000" w:rsidDel="00000000" w:rsidP="00000000" w:rsidRDefault="00000000" w:rsidRPr="00000000" w14:paraId="00000033">
      <w:pPr>
        <w:numPr>
          <w:ilvl w:val="0"/>
          <w:numId w:val="5"/>
        </w:numPr>
        <w:ind w:left="720" w:hanging="360"/>
        <w:rPr/>
      </w:pPr>
      <w:r w:rsidDel="00000000" w:rsidR="00000000" w:rsidRPr="00000000">
        <w:rPr>
          <w:u w:val="single"/>
          <w:rtl w:val="0"/>
        </w:rPr>
        <w:t xml:space="preserve">Desarrollar una interfaz de usuario (UI/UX) intuitiva y accesible (Web/Móvil) para el agendamiento y reprogramación de citas.</w:t>
      </w: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Integrar la plataforma con los sistemas de base de datos de pacientes (Padrón de Asegurados) y el backend de disponibilidad médica.</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Establecer un flujo de notificaciones end-to-end (confirmación, recordatorio 24h) a través de canales de comunicación digital (SMS/correo electrónico).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Beneficiarios</w:t>
      </w:r>
    </w:p>
    <w:p w:rsidR="00000000" w:rsidDel="00000000" w:rsidP="00000000" w:rsidRDefault="00000000" w:rsidRPr="00000000" w14:paraId="00000038">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peruano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Optimización de la inversión en salud, mejora en la percepción de los servicios públicos, y obtención de data analítica sobre la demanda de citas.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Población asegurada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Acceso expedito y transparente al servicio de salud, reducción de tiempos de traslado y espera.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Personal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Descongestión de tareas operativas y reducción de la carga de trabajo por gestión manual de citas.</w:t>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Métricas de desempeño</w:t>
      </w:r>
    </w:p>
    <w:p w:rsidR="00000000" w:rsidDel="00000000" w:rsidP="00000000" w:rsidRDefault="00000000" w:rsidRPr="00000000" w14:paraId="00000042">
      <w:pPr>
        <w:numPr>
          <w:ilvl w:val="0"/>
          <w:numId w:val="3"/>
        </w:numPr>
        <w:ind w:left="720" w:hanging="360"/>
        <w:rPr>
          <w:u w:val="none"/>
        </w:rPr>
      </w:pPr>
      <w:r w:rsidDel="00000000" w:rsidR="00000000" w:rsidRPr="00000000">
        <w:rPr>
          <w:b w:val="1"/>
          <w:rtl w:val="0"/>
        </w:rPr>
        <w:t xml:space="preserve">Tasa de Adopción Digital:</w:t>
      </w:r>
      <w:r w:rsidDel="00000000" w:rsidR="00000000" w:rsidRPr="00000000">
        <w:rPr>
          <w:rtl w:val="0"/>
        </w:rPr>
        <w:t xml:space="preserve"> Porcentaje de citas reservadas a través del nuevo sistema virtual.</w:t>
      </w:r>
    </w:p>
    <w:p w:rsidR="00000000" w:rsidDel="00000000" w:rsidP="00000000" w:rsidRDefault="00000000" w:rsidRPr="00000000" w14:paraId="00000043">
      <w:pPr>
        <w:numPr>
          <w:ilvl w:val="0"/>
          <w:numId w:val="3"/>
        </w:numPr>
        <w:ind w:left="720" w:hanging="360"/>
        <w:rPr>
          <w:u w:val="none"/>
        </w:rPr>
      </w:pPr>
      <w:r w:rsidDel="00000000" w:rsidR="00000000" w:rsidRPr="00000000">
        <w:rPr>
          <w:b w:val="1"/>
          <w:rtl w:val="0"/>
        </w:rPr>
        <w:t xml:space="preserve">Tiempo Promedio de Reserva:</w:t>
      </w:r>
      <w:r w:rsidDel="00000000" w:rsidR="00000000" w:rsidRPr="00000000">
        <w:rPr>
          <w:rtl w:val="0"/>
        </w:rPr>
        <w:t xml:space="preserve"> Medición desde el inicio de la solicitud hasta la confirmación de la cita.</w:t>
      </w:r>
    </w:p>
    <w:p w:rsidR="00000000" w:rsidDel="00000000" w:rsidP="00000000" w:rsidRDefault="00000000" w:rsidRPr="00000000" w14:paraId="00000044">
      <w:pPr>
        <w:numPr>
          <w:ilvl w:val="0"/>
          <w:numId w:val="3"/>
        </w:numPr>
        <w:ind w:left="720" w:hanging="360"/>
        <w:rPr>
          <w:u w:val="none"/>
        </w:rPr>
      </w:pPr>
      <w:r w:rsidDel="00000000" w:rsidR="00000000" w:rsidRPr="00000000">
        <w:rPr>
          <w:b w:val="1"/>
          <w:rtl w:val="0"/>
        </w:rPr>
        <w:t xml:space="preserve">Tasa de No-Show:</w:t>
      </w:r>
      <w:r w:rsidDel="00000000" w:rsidR="00000000" w:rsidRPr="00000000">
        <w:rPr>
          <w:rtl w:val="0"/>
        </w:rPr>
        <w:t xml:space="preserve"> Porcentaje de pacientes que no acuden a su cita (se espera reducción).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Este documento constituye la Propuesta Técnica y de Alcance Preliminar (PTAP), oficializando el compromiso entre Data Service S.A.C. (como proveedor tecnológico) y el Estado Peruano (como cliente) para la ejecución del proyecto</w:t>
      </w:r>
      <w:r w:rsidDel="00000000" w:rsidR="00000000" w:rsidRPr="00000000">
        <w:rPr>
          <w:rtl w:val="0"/>
        </w:rPr>
        <w:t xml:space="preserve"> </w:t>
      </w:r>
      <w:r w:rsidDel="00000000" w:rsidR="00000000" w:rsidRPr="00000000">
        <w:rPr>
          <w:u w:val="single"/>
          <w:rtl w:val="0"/>
        </w:rPr>
        <w:t xml:space="preserve">MediCita/Salud Conecta</w:t>
      </w:r>
      <w:r w:rsidDel="00000000" w:rsidR="00000000" w:rsidRPr="00000000">
        <w:rPr>
          <w:rtl w:val="0"/>
        </w:rPr>
        <w:t xml:space="preserve">, estableciendo como hito de Puesta en Producción (Go-Live) el día 02 de diciembre de 2025. Los términos específicos de las penalidades, Service Level Agreements (SLAs) y entregables finales se detallarán en documentos siguientes.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______________________________           ______________________________</w:t>
      </w:r>
    </w:p>
    <w:p w:rsidR="00000000" w:rsidDel="00000000" w:rsidP="00000000" w:rsidRDefault="00000000" w:rsidRPr="00000000" w14:paraId="00000050">
      <w:pPr>
        <w:jc w:val="center"/>
        <w:rPr/>
      </w:pPr>
      <w:r w:rsidDel="00000000" w:rsidR="00000000" w:rsidRPr="00000000">
        <w:rPr>
          <w:rtl w:val="0"/>
        </w:rPr>
        <w:t xml:space="preserve">Cliente                                                              Empresa</w:t>
      </w:r>
    </w:p>
    <w:p w:rsidR="00000000" w:rsidDel="00000000" w:rsidP="00000000" w:rsidRDefault="00000000" w:rsidRPr="00000000" w14:paraId="00000051">
      <w:pPr>
        <w:jc w:val="center"/>
        <w:rPr/>
      </w:pPr>
      <w:r w:rsidDel="00000000" w:rsidR="00000000" w:rsidRPr="00000000">
        <w:rPr>
          <w:rtl w:val="0"/>
        </w:rPr>
        <w:t xml:space="preserve">Gerente                                                               Gerente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