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Standard Commercial Contract Playbook</w:t>
      </w:r>
    </w:p>
    <w:p>
      <w:pPr>
        <w:spacing w:after="400"/>
        <w:jc w:val="center"/>
      </w:pPr>
      <w:r>
        <w:rPr>
          <w:i/>
          <w:iCs/>
          <w:color w:val="5B5B5B"/>
          <w:sz w:val="24"/>
          <w:szCs w:val="24"/>
        </w:rPr>
        <w:t xml:space="preserve">Preferred Positions &amp; Risk Guidelines</w:t>
      </w:r>
    </w:p>
    <w:p>
      <w:pPr>
        <w:spacing w:after="200"/>
      </w:pPr>
      <w:r>
        <w:t xml:space="preserve">Use this playbook as the baseline for comparison during Playbook &amp; Risk Analysis.</w:t>
      </w:r>
    </w:p>
    <w:p>
      <w:pPr>
        <w:pStyle w:val="Heading2"/>
      </w:pPr>
      <w:r>
        <w:t xml:space="preserve">Liability Limitation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Cap mutual liability at 12 months of fees paid (or $1M, whichever is greater).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Cap at 6–12 months of fees.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High Risk: </w:t>
      </w:r>
      <w:r>
        <w:t xml:space="preserve">Unlimited liability, or cap below 3 months of fees.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i/>
          <w:iCs/>
        </w:rPr>
        <w:t xml:space="preserve">Fallback language: </w:t>
      </w:r>
      <w:r>
        <w:rPr>
          <w:i/>
          <w:iCs/>
        </w:rPr>
        <w:t xml:space="preserve">“Each party’s total liability under this Agreement shall not exceed the fees paid or payable in the twelve (12) months preceding the claim.”</w:t>
      </w:r>
    </w:p>
    <w:p>
      <w:pPr>
        <w:pStyle w:val="Heading2"/>
      </w:pPr>
      <w:r>
        <w:t xml:space="preserve">Indemnification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Mutual indemnification limited to third-party IP infringement and data breach claims, with standard exclusions (consequential damages,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Unilateral indemnification by vendor for IP and confidentiality breaches.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High Risk: </w:t>
      </w:r>
      <w:r>
        <w:t xml:space="preserve">Broad unlimited indemnification for any claim, or indemnification that survives termination without a cap.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i/>
          <w:iCs/>
        </w:rPr>
        <w:t xml:space="preserve">Fallback language: </w:t>
      </w:r>
      <w:r>
        <w:rPr>
          <w:i/>
          <w:iCs/>
        </w:rPr>
        <w:t xml:space="preserve">“Vendor shall indemnify Customer against third-party claims arising from Vendor’s infringement of intellectual property rights, subject to the liability cap in Section X.”</w:t>
      </w:r>
    </w:p>
    <w:p>
      <w:pPr>
        <w:pStyle w:val="Heading2"/>
      </w:pPr>
      <w:r>
        <w:t xml:space="preserve">Termination for Convenience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Either party may terminate for convenience with 30 days written notice after the initial term.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60–90 days notice.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High Risk: </w:t>
      </w:r>
      <w:r>
        <w:t xml:space="preserve">No termination for convenience, or termination only by one party.</w:t>
      </w:r>
    </w:p>
    <w:p>
      <w:pPr>
        <w:pStyle w:val="Heading2"/>
      </w:pPr>
      <w:r>
        <w:t xml:space="preserve">Governing Law &amp; 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Governing law of [Customer’s home jurisdiction] with exclusive venue in customer’s courts.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Neutral jurisdiction or vendor’s jurisdiction with non-exclusive venue.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High Risk: </w:t>
      </w:r>
      <w:r>
        <w:t xml:space="preserve">Vendor’s jurisdiction with exclusive venue and no carve-out for injunctive relief.</w:t>
      </w:r>
    </w:p>
    <w:p>
      <w:pPr>
        <w:pStyle w:val="Heading2"/>
      </w:pPr>
      <w:r>
        <w:t xml:space="preserve">Confidentiality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Mutual confidentiality obligations surviving 3–5 years (or perpetually for trade secrets).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2–3 years survival.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High Risk: </w:t>
      </w:r>
      <w:r>
        <w:t xml:space="preserve">One-way confidentiality or survival of less than 1 year.</w:t>
      </w:r>
    </w:p>
    <w:p>
      <w:pPr>
        <w:pStyle w:val="Heading2"/>
      </w:pPr>
      <w:r>
        <w:t xml:space="preserve">Data Protection /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Vendor maintains SOC 2 Type II (or equivalent) and provides annual report; data processing addendum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SOC 2 or ISO 27001 with reasonable notice of material changes.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High Risk: </w:t>
      </w:r>
      <w:r>
        <w:t xml:space="preserve">No security commitments or right to audit.</w:t>
      </w:r>
    </w:p>
    <w:p>
      <w:pPr>
        <w:pStyle w:val="Heading2"/>
      </w:pPr>
      <w:r>
        <w:t xml:space="preserve">Limitation of Remedies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Preferred: </w:t>
      </w:r>
      <w:r>
        <w:t xml:space="preserve">Consequential, incidental, and punitive damages excluded except for confidentiality, IP, or data breach claims.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Acceptable: </w:t>
      </w:r>
      <w:r>
        <w:t xml:space="preserve">Broad exclusion with carve-outs for gross negligence or willful misconduct.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High Risk: </w:t>
      </w:r>
      <w:r>
        <w:t xml:space="preserve">No exclusion, or exclusion that removes all remedies for material breach.</w:t>
      </w:r>
    </w:p>
    <w:p>
      <w:pPr>
        <w:pStyle w:val="Heading2"/>
      </w:pPr>
      <w:r>
        <w:t xml:space="preserve">Notes for the Agent</w:t>
      </w:r>
    </w:p>
    <w:p>
      <w:pPr>
        <w:pStyle w:val="ListParagraph"/>
        <w:numPr>
          <w:ilvl w:val="0"/>
          <w:numId w:val="2"/>
        </w:numPr>
      </w:pPr>
      <w:r>
        <w:t xml:space="preserve">Flag any clause that falls into the High Risk category.</w:t>
      </w:r>
    </w:p>
    <w:p>
      <w:pPr>
        <w:pStyle w:val="ListParagraph"/>
        <w:numPr>
          <w:ilvl w:val="0"/>
          <w:numId w:val="2"/>
        </w:numPr>
      </w:pPr>
      <w:r>
        <w:t xml:space="preserve">Suggest the Preferred or Fallback language when a deviation is detected.</w:t>
      </w:r>
    </w:p>
    <w:p>
      <w:pPr>
        <w:pStyle w:val="ListParagraph"/>
        <w:numPr>
          <w:ilvl w:val="0"/>
          <w:numId w:val="2"/>
        </w:numPr>
      </w:pPr>
      <w:r>
        <w:t xml:space="preserve">Always ground the comparison in the actual contract text provided.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2026-10-22T12:16:11.905Z</dcterms:created>
  <dcterms:modified xsi:type="dcterms:W3CDTF">2026-10-22T12:16:11.905Z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