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Clause Taxonomy</w:t>
      </w:r>
    </w:p>
    <w:p>
      <w:pPr>
        <w:spacing w:after="300"/>
        <w:jc w:val="center"/>
      </w:pPr>
      <w:r>
        <w:rPr>
          <w:i/>
          <w:iCs/>
          <w:color w:val="5B5B5B"/>
          <w:sz w:val="24"/>
          <w:szCs w:val="24"/>
        </w:rPr>
        <w:t xml:space="preserve">Standard Categories for Contract Analysis</w:t>
      </w:r>
    </w:p>
    <w:p>
      <w:pPr>
        <w:spacing w:after="200"/>
      </w:pPr>
      <w:r>
        <w:t xml:space="preserve">Use this taxonomy when classifying clauses (via the Classify_Contract_Clause prompt or Apex logic).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Clause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Keywords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Liability Limitation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Caps or limits the amount or types of damages recoverable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"liability shall not exceed", "aggregate liability", "cap"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Indemnification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Obligations to defend or hold harmless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"indemnify", "hold harmless", "defend"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Termination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Rights to end the agreement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"terminate", "termination for convenience", "material breach"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Governing Law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Choice of law and 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"governing law", "venue", "jurisdiction"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Non-disclosure obligations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"confidential information", "non-disclosure"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Privacy, security, and processing terms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"personal data", "SOC 2", "data processing"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Intellectual Property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Ownership and license of 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"intellectual property", "license", "ownership"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Assignment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Rights to assign the contract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"assign", "assignment"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Force Majeure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Excuse for non-performance due to extraordinary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"force majeure", "act of God"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Rights to inspect books or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"audit", "inspection"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Limitation of Remedies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Exclusions of certain damages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"consequential damages", "indirect damages"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Fees, invoicing, and late payment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"payment", "invoice", "fees"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Warranty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Representations about quality or performance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"warranty", "represents and warrants"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Non-Solicitation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Restrictions on hiring the other party’s employees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"non-solicit", "solicit"</w:t>
            </w:r>
          </w:p>
        </w:tc>
      </w:tr>
    </w:tbl>
    <w:p>
      <w:pPr>
        <w:pStyle w:val="Heading2"/>
        <w:spacing w:before="400"/>
      </w:pPr>
      <w:r>
        <w:t xml:space="preserve">Usage Notes</w:t>
      </w:r>
    </w:p>
    <w:p>
      <w:pPr>
        <w:spacing w:after="80"/>
      </w:pPr>
      <w:r>
        <w:t xml:space="preserve">• Prefer the most specific category that fits.</w:t>
      </w:r>
    </w:p>
    <w:p>
      <w:pPr>
        <w:spacing w:after="80"/>
      </w:pPr>
      <w:r>
        <w:t xml:space="preserve">• If a clause covers multiple topics, classify the primary obligation and note secondary issues in the rationale.</w:t>
      </w:r>
    </w:p>
    <w:p>
      <w:r>
        <w:t xml:space="preserve">• Missing standard clauses (for the known contract type) should be flagged as findings with risk level Medium or High.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2026-10-22T12:31:20.263Z</dcterms:created>
  <dcterms:modified xsi:type="dcterms:W3CDTF">2026-10-22T12:31:20.268Z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