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3B05" w14:textId="0035F5D8" w:rsidR="00A70645" w:rsidRPr="004E61C4" w:rsidRDefault="009462D5" w:rsidP="00067ACC">
      <w:pPr>
        <w:spacing w:line="360" w:lineRule="auto"/>
        <w:rPr>
          <w:sz w:val="32"/>
          <w:szCs w:val="32"/>
        </w:rPr>
      </w:pPr>
      <w:r w:rsidRPr="004E61C4">
        <w:rPr>
          <w:sz w:val="32"/>
          <w:szCs w:val="32"/>
        </w:rPr>
        <w:t xml:space="preserve">Arbeidskrav 5 – </w:t>
      </w:r>
      <w:proofErr w:type="spellStart"/>
      <w:r w:rsidRPr="004E61C4">
        <w:rPr>
          <w:sz w:val="32"/>
          <w:szCs w:val="32"/>
        </w:rPr>
        <w:t>Study</w:t>
      </w:r>
      <w:proofErr w:type="spellEnd"/>
      <w:r w:rsidRPr="004E61C4">
        <w:rPr>
          <w:sz w:val="32"/>
          <w:szCs w:val="32"/>
        </w:rPr>
        <w:t xml:space="preserve"> design </w:t>
      </w:r>
    </w:p>
    <w:p w14:paraId="3365FFCD" w14:textId="28557861" w:rsidR="009462D5" w:rsidRPr="004E61C4" w:rsidRDefault="009462D5" w:rsidP="00067ACC">
      <w:pPr>
        <w:spacing w:line="360" w:lineRule="auto"/>
      </w:pPr>
      <w:r w:rsidRPr="004E61C4">
        <w:t xml:space="preserve">Av: Hedda </w:t>
      </w:r>
      <w:proofErr w:type="spellStart"/>
      <w:r w:rsidRPr="004E61C4">
        <w:t>Waller</w:t>
      </w:r>
      <w:proofErr w:type="spellEnd"/>
    </w:p>
    <w:p w14:paraId="56F77D84" w14:textId="77777777" w:rsidR="009462D5" w:rsidRPr="004E61C4" w:rsidRDefault="009462D5" w:rsidP="00067ACC">
      <w:pPr>
        <w:spacing w:line="360" w:lineRule="auto"/>
      </w:pPr>
    </w:p>
    <w:p w14:paraId="6B883A1B" w14:textId="08C39B23" w:rsidR="004E6A95" w:rsidRPr="004E61C4" w:rsidRDefault="004E6A95" w:rsidP="00067ACC">
      <w:pPr>
        <w:spacing w:line="360" w:lineRule="auto"/>
        <w:rPr>
          <w:b/>
          <w:bCs/>
          <w:sz w:val="28"/>
          <w:szCs w:val="28"/>
        </w:rPr>
      </w:pPr>
      <w:r w:rsidRPr="004E61C4">
        <w:rPr>
          <w:b/>
          <w:bCs/>
          <w:sz w:val="28"/>
          <w:szCs w:val="28"/>
        </w:rPr>
        <w:t>Innledning</w:t>
      </w:r>
    </w:p>
    <w:p w14:paraId="109CDE63" w14:textId="253A2986" w:rsidR="009462D5" w:rsidRPr="004E61C4" w:rsidRDefault="009462D5" w:rsidP="00067ACC">
      <w:pPr>
        <w:spacing w:line="360" w:lineRule="auto"/>
      </w:pPr>
      <w:r w:rsidRPr="004E61C4">
        <w:t>I de fem valgte artiklene er det kvinner og menstruasjonssyklus som er i fokus. Menstruasjonssyklusen er en biologisk rytme alle eumenorrheiske kvinner har som påvirker den kvinnelige kroppen på flere ulike måter. Syklusen deles vanligvis inn i tre ulike faser. Fasene inndeles etter nivået av ulike hormone</w:t>
      </w:r>
      <w:r w:rsidR="00067ACC" w:rsidRPr="004E61C4">
        <w:t>r</w:t>
      </w:r>
      <w:r w:rsidRPr="004E61C4">
        <w:t xml:space="preserve"> i kroppen, der østrogen og progesteron er de mest fremtredende. </w:t>
      </w:r>
      <w:r w:rsidR="00067ACC" w:rsidRPr="004E61C4">
        <w:t>Mye av forskning innenfor idrett har tidligere vært gjort på mannlige idrettsutøvere. Den senere tiden har kvinnehelse blitt satt mer i fokus, og det er gjort flere prosjekter som omhandler kvinnelige idrettsutøvere. I de fem studiene</w:t>
      </w:r>
      <w:r w:rsidR="004E6A95" w:rsidRPr="004E61C4">
        <w:t xml:space="preserve"> som inkluderes i denne oppgaven</w:t>
      </w:r>
      <w:r w:rsidR="00067ACC" w:rsidRPr="004E61C4">
        <w:t xml:space="preserve"> er det gjennomgående spørsmålet om menstruasjonssyklusen påvirker idrettslig prestasjon</w:t>
      </w:r>
      <w:r w:rsidR="004E6A95" w:rsidRPr="004E61C4">
        <w:t>, nærmere bestemt deres evne til maksimal kraftutvikling</w:t>
      </w:r>
      <w:r w:rsidR="00067ACC" w:rsidRPr="004E61C4">
        <w:t xml:space="preserve">. </w:t>
      </w:r>
      <w:r w:rsidR="004E6A95" w:rsidRPr="004E61C4">
        <w:t xml:space="preserve">Videre i oppgaven vil </w:t>
      </w:r>
      <w:r w:rsidR="00EA038B">
        <w:t xml:space="preserve">de ulike studiene </w:t>
      </w:r>
      <w:r w:rsidR="004E6A95" w:rsidRPr="004E61C4">
        <w:t xml:space="preserve">sammenlignes basert på deres metode, resultater og statistiske analyser. </w:t>
      </w:r>
    </w:p>
    <w:p w14:paraId="5D4AEBA4" w14:textId="77777777" w:rsidR="001B1CFE" w:rsidRPr="004E61C4" w:rsidRDefault="001B1CFE" w:rsidP="00067ACC">
      <w:pPr>
        <w:spacing w:line="360" w:lineRule="auto"/>
      </w:pPr>
    </w:p>
    <w:p w14:paraId="080390E6" w14:textId="7C7635D4" w:rsidR="004E6A95" w:rsidRPr="004E61C4" w:rsidRDefault="004E6A95" w:rsidP="00067ACC">
      <w:pPr>
        <w:spacing w:line="360" w:lineRule="auto"/>
        <w:rPr>
          <w:b/>
          <w:bCs/>
          <w:sz w:val="28"/>
          <w:szCs w:val="28"/>
        </w:rPr>
      </w:pPr>
      <w:r w:rsidRPr="004E61C4">
        <w:rPr>
          <w:b/>
          <w:bCs/>
          <w:sz w:val="28"/>
          <w:szCs w:val="28"/>
        </w:rPr>
        <w:t>Metode</w:t>
      </w:r>
    </w:p>
    <w:p w14:paraId="7DC94327" w14:textId="4357BB78" w:rsidR="008620E7" w:rsidRPr="004E61C4" w:rsidRDefault="004E6A95" w:rsidP="008620E7">
      <w:pPr>
        <w:spacing w:line="360" w:lineRule="auto"/>
      </w:pPr>
      <w:r w:rsidRPr="004E61C4">
        <w:t xml:space="preserve">I de fem studiene er det overordnede temaet hvordan menstruasjonssyklus påvirker evnen til maksimal kraftutvikling hos kvinner. </w:t>
      </w:r>
      <w:r w:rsidR="001B1CFE" w:rsidRPr="004E61C4">
        <w:t xml:space="preserve">I studien til Romero-Moraleda et al. (2019) er hensikten med studien å undersøke svingninger i muskelytelsen i Smith-maskin gjennom tre ulike faser av syklusen. En lignende hensikt finner vi i Bambaeichi et al. (2004) der de ønsket å se på </w:t>
      </w:r>
      <w:r w:rsidR="008B3381" w:rsidRPr="004E61C4">
        <w:t xml:space="preserve">menstruasjonssyklusens innvirkning på muskelstyrke. I Janse de Jonge et al. (2000) var hensikten å se på fasenes påvirkning på skjelettmuskulaturens kontraktile egenskaper, mens det i Fridén et al. (2003) ble sett på både muskelstyrke og utholdenhet. I siste artikkel var hensikten å se på syklusen påvirkning på fire ulike indekser for idrettsprestasjon, der av muskelstyrke (LeBrun et al., 1995). Ettersom hensiktene varierer litt fra hverandre, vil besvarelsen av disse spørsmålene få frem ulike nyanser som alle likevel ligger under det overordnede spørsmålet angående evnen til kraftutvikling i de ulike fasene av syklusen. </w:t>
      </w:r>
    </w:p>
    <w:p w14:paraId="5B77EED9" w14:textId="77777777" w:rsidR="000661ED" w:rsidRDefault="008620E7" w:rsidP="008620E7">
      <w:pPr>
        <w:pStyle w:val="NormalWeb"/>
        <w:spacing w:line="360" w:lineRule="auto"/>
      </w:pPr>
      <w:r w:rsidRPr="004E61C4">
        <w:t xml:space="preserve">I flere av oppgavene settes det retningslinjer som veileder forskningen ved hjelp av en hensikt eller et mål. Det er kun i Fridén et al. </w:t>
      </w:r>
      <w:r w:rsidRPr="004E61C4">
        <w:rPr>
          <w:lang w:val="en-US"/>
        </w:rPr>
        <w:t>(2003</w:t>
      </w:r>
      <w:r w:rsidRPr="004E61C4">
        <w:t>) at det presenteres en klar hypotese om</w:t>
      </w:r>
      <w:r w:rsidRPr="004E61C4">
        <w:rPr>
          <w:lang w:val="en-US"/>
        </w:rPr>
        <w:t xml:space="preserve"> at </w:t>
      </w:r>
      <w:r w:rsidRPr="004E61C4">
        <w:rPr>
          <w:rFonts w:eastAsiaTheme="minorHAnsi"/>
          <w:kern w:val="2"/>
          <w:lang w:val="en-US" w:eastAsia="en-US"/>
          <w14:ligatures w14:val="standardContextual"/>
        </w:rPr>
        <w:t>«</w:t>
      </w:r>
      <w:r w:rsidRPr="004E61C4">
        <w:rPr>
          <w:rFonts w:eastAsiaTheme="minorHAnsi"/>
          <w:kern w:val="2"/>
          <w:lang w:val="en-US" w:eastAsia="en-US"/>
          <w14:ligatures w14:val="standardContextual"/>
        </w:rPr>
        <w:t>Muscle Strength and Endurance Do Not Significantly Vary Across 3 Phases of the Menstrual Cycle in Moderately Active Premenopausal Women</w:t>
      </w:r>
      <w:r w:rsidRPr="004E61C4">
        <w:rPr>
          <w:lang w:val="en-US"/>
        </w:rPr>
        <w:t xml:space="preserve">». </w:t>
      </w:r>
      <w:r w:rsidR="00275873" w:rsidRPr="004E61C4">
        <w:t xml:space="preserve">I de resterende artiklene er det spesifikke spørsmålet formulert gjennom en hensikt eller et spørsmål. I dette tilfellet kan man </w:t>
      </w:r>
      <w:r w:rsidR="00275873" w:rsidRPr="004E61C4">
        <w:lastRenderedPageBreak/>
        <w:t xml:space="preserve">anta at det er flere alternative forklaringer som gjør at Fridén et al. (2003) formulerer hypotesen slik de her har gjort. I forskning er det ofte flere faktorer som spiller inn på resultatet. Når det kommer til forskning på kvinner og deres </w:t>
      </w:r>
      <w:r w:rsidR="000661ED" w:rsidRPr="004E61C4">
        <w:t>menstruasjonssyklus</w:t>
      </w:r>
      <w:r w:rsidR="00275873" w:rsidRPr="004E61C4">
        <w:t xml:space="preserve"> er det store individuelle forskjeller som skal tas i betraktning. Det samme skal også valg av protokoll, metode for innsamling av data og store metodiske utfordringer knyttet til feltet. At Fridén et al. (2003) utformer hypotesen slik kan blant annet også skyldes tidligere forskning gjort på området og temaets teoretiske bakgrunn. Det er likevel viktig å huske at </w:t>
      </w:r>
      <w:r w:rsidR="000661ED" w:rsidRPr="004E61C4">
        <w:t xml:space="preserve">dersom resultatene ikke støtter opp under hypotesen, betyr ikke det nødvendigvis at hypotesen er feil, men at det kan være forhold eller andre variabler som påvirker resultatene. </w:t>
      </w:r>
    </w:p>
    <w:p w14:paraId="335582B2" w14:textId="77777777" w:rsidR="00EA038B" w:rsidRPr="004E61C4" w:rsidRDefault="00EA038B" w:rsidP="008620E7">
      <w:pPr>
        <w:pStyle w:val="NormalWeb"/>
        <w:spacing w:line="360" w:lineRule="auto"/>
      </w:pPr>
    </w:p>
    <w:p w14:paraId="27D3F55C" w14:textId="77777777" w:rsidR="000661ED" w:rsidRPr="004E61C4" w:rsidRDefault="000661ED" w:rsidP="00CC5775">
      <w:pPr>
        <w:pStyle w:val="NormalWeb"/>
        <w:rPr>
          <w:b/>
          <w:bCs/>
        </w:rPr>
      </w:pPr>
      <w:r w:rsidRPr="004E61C4">
        <w:rPr>
          <w:b/>
          <w:bCs/>
        </w:rPr>
        <w:t xml:space="preserve">Logikk </w:t>
      </w:r>
    </w:p>
    <w:p w14:paraId="55EC9D5F" w14:textId="78FBEACC" w:rsidR="000661ED" w:rsidRDefault="000661ED" w:rsidP="000661ED">
      <w:pPr>
        <w:pStyle w:val="NormalWeb"/>
        <w:spacing w:line="360" w:lineRule="auto"/>
      </w:pPr>
      <w:r w:rsidRPr="004E61C4">
        <w:t xml:space="preserve">Hva som leder opp til studienes hypotese eller spørsmål varierer fra studie til studie. Deres logikklinje, som er et uttrykk for hvordan forfatterne bygger opp under deres hypotese eller spørsmål, er viktig for å påse at det som skal undersøkes bygger på allerede eksisterende kunnskap. Der Romero-Moraleda et al. (2019) i </w:t>
      </w:r>
      <w:r w:rsidR="00BA55B3" w:rsidRPr="004E61C4">
        <w:t>sin</w:t>
      </w:r>
      <w:r w:rsidRPr="004E61C4">
        <w:t xml:space="preserve"> innledning presenterer </w:t>
      </w:r>
      <w:r w:rsidR="00BA55B3" w:rsidRPr="004E61C4">
        <w:t>teori og hva tidligere forskning sier om temaet, legger Bambaeichi et al. (200</w:t>
      </w:r>
      <w:r w:rsidR="00CC5775" w:rsidRPr="004E61C4">
        <w:t>4</w:t>
      </w:r>
      <w:r w:rsidR="00BA55B3" w:rsidRPr="004E61C4">
        <w:t>) større vekt på teori og mindre på tidligere forskning. Her kan det diskuteres hvor mye relevant forskning forfatterne kunne henvise til på dette tidspunktet. I Janse de Jonge et al. (200</w:t>
      </w:r>
      <w:r w:rsidR="00EA038B">
        <w:t>1</w:t>
      </w:r>
      <w:r w:rsidR="00BA55B3" w:rsidRPr="004E61C4">
        <w:t>) får de metodiske utfordringene knyttet til feltet stor plass i innledningen, dette på bekostning av den teoretiske bakgrunnen. Her pekes det heller på tidligere forskning, og utfordringene knyttet til deres metode. Dette er videre noe som får stor plass i studiens diskusjon (Janse de Jonge et al., 200</w:t>
      </w:r>
      <w:r w:rsidR="00EA038B">
        <w:t>1</w:t>
      </w:r>
      <w:r w:rsidR="00BA55B3" w:rsidRPr="004E61C4">
        <w:t xml:space="preserve">). Innledningen presenterer </w:t>
      </w:r>
      <w:r w:rsidR="00CC5775" w:rsidRPr="004E61C4">
        <w:t>både</w:t>
      </w:r>
      <w:r w:rsidR="00BA55B3" w:rsidRPr="004E61C4">
        <w:t xml:space="preserve"> hva vi vet, </w:t>
      </w:r>
      <w:r w:rsidR="00CC5775" w:rsidRPr="004E61C4">
        <w:t xml:space="preserve">og hva vi ikke vet. Slik formulerer innledningen «retningslinjer», som peker i retningen studien skal bevege seg i. </w:t>
      </w:r>
      <w:r w:rsidR="007259BF">
        <w:t>På denne måten</w:t>
      </w:r>
      <w:r w:rsidR="00CC5775" w:rsidRPr="004E61C4">
        <w:t xml:space="preserve"> ser vi hvordan «linjen av logikk» kan være bygget opp på flere måter, men likevel presentere en hypotese, hensikt eller retningslinjer som naturlig </w:t>
      </w:r>
      <w:r w:rsidR="004E61C4">
        <w:t>viderefører</w:t>
      </w:r>
      <w:r w:rsidR="00CC5775" w:rsidRPr="004E61C4">
        <w:t xml:space="preserve"> det vi allerede vet</w:t>
      </w:r>
      <w:r w:rsidR="00CA0A0A">
        <w:t xml:space="preserve"> om temaet</w:t>
      </w:r>
      <w:r w:rsidR="00CC5775" w:rsidRPr="004E61C4">
        <w:t xml:space="preserve">. </w:t>
      </w:r>
    </w:p>
    <w:p w14:paraId="49316B56" w14:textId="77777777" w:rsidR="00E84DBD" w:rsidRDefault="00E84DBD" w:rsidP="000661ED">
      <w:pPr>
        <w:pStyle w:val="NormalWeb"/>
        <w:spacing w:line="360" w:lineRule="auto"/>
      </w:pPr>
    </w:p>
    <w:p w14:paraId="0CA895CC" w14:textId="77777777" w:rsidR="00E84DBD" w:rsidRDefault="00E84DBD" w:rsidP="000661ED">
      <w:pPr>
        <w:pStyle w:val="NormalWeb"/>
        <w:spacing w:line="360" w:lineRule="auto"/>
      </w:pPr>
    </w:p>
    <w:p w14:paraId="6B80DE1F" w14:textId="77777777" w:rsidR="00E84DBD" w:rsidRDefault="00E84DBD" w:rsidP="000661ED">
      <w:pPr>
        <w:pStyle w:val="NormalWeb"/>
        <w:spacing w:line="360" w:lineRule="auto"/>
      </w:pPr>
    </w:p>
    <w:tbl>
      <w:tblPr>
        <w:tblStyle w:val="Tabellrutenett"/>
        <w:tblpPr w:leftFromText="141" w:rightFromText="141" w:vertAnchor="page" w:horzAnchor="margin" w:tblpY="1801"/>
        <w:tblW w:w="5000" w:type="pct"/>
        <w:tblLook w:val="04A0" w:firstRow="1" w:lastRow="0" w:firstColumn="1" w:lastColumn="0" w:noHBand="0" w:noVBand="1"/>
      </w:tblPr>
      <w:tblGrid>
        <w:gridCol w:w="1443"/>
        <w:gridCol w:w="1938"/>
        <w:gridCol w:w="1965"/>
        <w:gridCol w:w="2297"/>
        <w:gridCol w:w="1419"/>
      </w:tblGrid>
      <w:tr w:rsidR="00217966" w:rsidRPr="004E61C4" w14:paraId="6E66D2EC" w14:textId="77777777" w:rsidTr="00217966">
        <w:trPr>
          <w:trHeight w:val="1408"/>
        </w:trPr>
        <w:tc>
          <w:tcPr>
            <w:tcW w:w="797" w:type="pct"/>
          </w:tcPr>
          <w:p w14:paraId="6BAAD280" w14:textId="77777777" w:rsidR="00217966" w:rsidRPr="004E61C4" w:rsidRDefault="00217966" w:rsidP="00217966">
            <w:pPr>
              <w:rPr>
                <w:b/>
                <w:bCs/>
              </w:rPr>
            </w:pPr>
            <w:r w:rsidRPr="004E61C4">
              <w:rPr>
                <w:b/>
                <w:bCs/>
              </w:rPr>
              <w:lastRenderedPageBreak/>
              <w:t>Studie</w:t>
            </w:r>
          </w:p>
        </w:tc>
        <w:tc>
          <w:tcPr>
            <w:tcW w:w="1070" w:type="pct"/>
          </w:tcPr>
          <w:p w14:paraId="135A7AF4" w14:textId="77777777" w:rsidR="00217966" w:rsidRPr="004E61C4" w:rsidRDefault="00217966" w:rsidP="00217966">
            <w:pPr>
              <w:rPr>
                <w:b/>
                <w:bCs/>
              </w:rPr>
            </w:pPr>
            <w:r w:rsidRPr="004E61C4">
              <w:rPr>
                <w:b/>
                <w:bCs/>
              </w:rPr>
              <w:t>Subjekt</w:t>
            </w:r>
          </w:p>
        </w:tc>
        <w:tc>
          <w:tcPr>
            <w:tcW w:w="1085" w:type="pct"/>
          </w:tcPr>
          <w:p w14:paraId="112B9F43" w14:textId="77777777" w:rsidR="00217966" w:rsidRPr="004E61C4" w:rsidRDefault="00217966" w:rsidP="00217966">
            <w:pPr>
              <w:rPr>
                <w:b/>
                <w:bCs/>
              </w:rPr>
            </w:pPr>
            <w:r>
              <w:rPr>
                <w:b/>
                <w:bCs/>
              </w:rPr>
              <w:t>Studiedesign</w:t>
            </w:r>
          </w:p>
        </w:tc>
        <w:tc>
          <w:tcPr>
            <w:tcW w:w="1265" w:type="pct"/>
          </w:tcPr>
          <w:p w14:paraId="51897ECB" w14:textId="77777777" w:rsidR="00217966" w:rsidRPr="004E61C4" w:rsidRDefault="00217966" w:rsidP="00217966">
            <w:pPr>
              <w:rPr>
                <w:b/>
                <w:bCs/>
              </w:rPr>
            </w:pPr>
            <w:r w:rsidRPr="004E61C4">
              <w:rPr>
                <w:b/>
                <w:bCs/>
              </w:rPr>
              <w:t>Testprotokoll</w:t>
            </w:r>
            <w:r>
              <w:rPr>
                <w:b/>
                <w:bCs/>
              </w:rPr>
              <w:t xml:space="preserve"> og valideringsprotokoll for syklus</w:t>
            </w:r>
          </w:p>
        </w:tc>
        <w:tc>
          <w:tcPr>
            <w:tcW w:w="783" w:type="pct"/>
          </w:tcPr>
          <w:p w14:paraId="22D20717" w14:textId="2888394B" w:rsidR="00217966" w:rsidRPr="004E61C4" w:rsidRDefault="00217966" w:rsidP="00217966">
            <w:pPr>
              <w:rPr>
                <w:b/>
                <w:bCs/>
              </w:rPr>
            </w:pPr>
            <w:r w:rsidRPr="004E61C4">
              <w:rPr>
                <w:b/>
                <w:bCs/>
              </w:rPr>
              <w:t>% forskjell mellom fasene</w:t>
            </w:r>
            <w:r w:rsidR="00D41A8C">
              <w:rPr>
                <w:b/>
                <w:bCs/>
              </w:rPr>
              <w:t xml:space="preserve"> (follikulær – </w:t>
            </w:r>
            <w:proofErr w:type="spellStart"/>
            <w:r w:rsidR="00D41A8C">
              <w:rPr>
                <w:b/>
                <w:bCs/>
              </w:rPr>
              <w:t>luteal</w:t>
            </w:r>
            <w:proofErr w:type="spellEnd"/>
            <w:r w:rsidR="00D41A8C">
              <w:rPr>
                <w:b/>
                <w:bCs/>
              </w:rPr>
              <w:t xml:space="preserve"> fase)</w:t>
            </w:r>
          </w:p>
        </w:tc>
      </w:tr>
      <w:tr w:rsidR="00217966" w:rsidRPr="004E61C4" w14:paraId="77AA7CC8" w14:textId="77777777" w:rsidTr="00217966">
        <w:trPr>
          <w:trHeight w:val="2226"/>
        </w:trPr>
        <w:tc>
          <w:tcPr>
            <w:tcW w:w="797" w:type="pct"/>
          </w:tcPr>
          <w:p w14:paraId="79B69234" w14:textId="77777777" w:rsidR="00217966" w:rsidRPr="004E61C4" w:rsidRDefault="00217966" w:rsidP="00217966">
            <w:r w:rsidRPr="004E61C4">
              <w:t>Romero-Moraleda et al. (2019)</w:t>
            </w:r>
          </w:p>
        </w:tc>
        <w:tc>
          <w:tcPr>
            <w:tcW w:w="1070" w:type="pct"/>
          </w:tcPr>
          <w:p w14:paraId="6C13D970" w14:textId="77777777" w:rsidR="00217966" w:rsidRPr="004E61C4" w:rsidRDefault="00217966" w:rsidP="00217966">
            <w:r w:rsidRPr="004E61C4">
              <w:t>N=13</w:t>
            </w:r>
          </w:p>
          <w:p w14:paraId="508983F7" w14:textId="77777777" w:rsidR="00217966" w:rsidRPr="004E61C4" w:rsidRDefault="00217966" w:rsidP="00217966"/>
          <w:p w14:paraId="46987252" w14:textId="77777777" w:rsidR="00217966" w:rsidRPr="004E61C4" w:rsidRDefault="00217966" w:rsidP="00217966">
            <w:r w:rsidRPr="004E61C4">
              <w:t xml:space="preserve">31.1 </w:t>
            </w:r>
            <w:r w:rsidRPr="004E61C4">
              <w:sym w:font="Symbol" w:char="F0B1"/>
            </w:r>
            <w:r w:rsidRPr="004E61C4">
              <w:t xml:space="preserve"> 5.5</w:t>
            </w:r>
          </w:p>
          <w:p w14:paraId="61669A97" w14:textId="77777777" w:rsidR="00217966" w:rsidRPr="004E61C4" w:rsidRDefault="00217966" w:rsidP="00217966"/>
          <w:p w14:paraId="384574CA" w14:textId="77777777" w:rsidR="00217966" w:rsidRPr="004E61C4" w:rsidRDefault="00217966" w:rsidP="00217966">
            <w:r w:rsidRPr="004E61C4">
              <w:t>Eumenorrheiske triatleter.</w:t>
            </w:r>
          </w:p>
        </w:tc>
        <w:tc>
          <w:tcPr>
            <w:tcW w:w="1085" w:type="pct"/>
          </w:tcPr>
          <w:p w14:paraId="5B9E2C5E" w14:textId="77777777" w:rsidR="00217966" w:rsidRDefault="00217966" w:rsidP="00217966">
            <w:pPr>
              <w:rPr>
                <w:color w:val="000000" w:themeColor="text1"/>
              </w:rPr>
            </w:pPr>
            <w:r>
              <w:rPr>
                <w:color w:val="000000" w:themeColor="text1"/>
              </w:rPr>
              <w:t xml:space="preserve">Longitudinell observasjons-studie. </w:t>
            </w:r>
          </w:p>
          <w:p w14:paraId="5E18FAD2" w14:textId="77777777" w:rsidR="00217966" w:rsidRDefault="00217966" w:rsidP="00217966">
            <w:pPr>
              <w:rPr>
                <w:color w:val="000000" w:themeColor="text1"/>
              </w:rPr>
            </w:pPr>
          </w:p>
          <w:p w14:paraId="1055E268" w14:textId="77777777" w:rsidR="00594AFD" w:rsidRDefault="00594AFD" w:rsidP="00217966">
            <w:pPr>
              <w:rPr>
                <w:color w:val="000000" w:themeColor="text1"/>
              </w:rPr>
            </w:pPr>
            <w:r>
              <w:rPr>
                <w:color w:val="000000" w:themeColor="text1"/>
              </w:rPr>
              <w:t>One-</w:t>
            </w:r>
            <w:proofErr w:type="spellStart"/>
            <w:r>
              <w:rPr>
                <w:color w:val="000000" w:themeColor="text1"/>
              </w:rPr>
              <w:t>way</w:t>
            </w:r>
            <w:proofErr w:type="spellEnd"/>
            <w:r>
              <w:rPr>
                <w:color w:val="000000" w:themeColor="text1"/>
              </w:rPr>
              <w:t xml:space="preserve"> </w:t>
            </w:r>
            <w:proofErr w:type="spellStart"/>
            <w:r>
              <w:rPr>
                <w:color w:val="000000" w:themeColor="text1"/>
              </w:rPr>
              <w:t>ANOVA</w:t>
            </w:r>
            <w:proofErr w:type="spellEnd"/>
            <w:r>
              <w:rPr>
                <w:color w:val="000000" w:themeColor="text1"/>
              </w:rPr>
              <w:t>.</w:t>
            </w:r>
          </w:p>
          <w:p w14:paraId="7F5B40F9" w14:textId="10F83586" w:rsidR="00A109B2" w:rsidRPr="004E61C4" w:rsidRDefault="00A109B2" w:rsidP="00217966">
            <w:pPr>
              <w:rPr>
                <w:color w:val="000000" w:themeColor="text1"/>
              </w:rPr>
            </w:pPr>
            <w:r>
              <w:rPr>
                <w:color w:val="000000" w:themeColor="text1"/>
              </w:rPr>
              <w:t>P &lt; 0.05</w:t>
            </w:r>
          </w:p>
        </w:tc>
        <w:tc>
          <w:tcPr>
            <w:tcW w:w="1265" w:type="pct"/>
          </w:tcPr>
          <w:p w14:paraId="6AD885DE" w14:textId="77777777" w:rsidR="00217966" w:rsidRDefault="00217966" w:rsidP="00217966">
            <w:pPr>
              <w:rPr>
                <w:color w:val="000000" w:themeColor="text1"/>
              </w:rPr>
            </w:pPr>
            <w:r w:rsidRPr="004E61C4">
              <w:rPr>
                <w:color w:val="000000" w:themeColor="text1"/>
              </w:rPr>
              <w:t>1RM knebøy i Smith-maskin.</w:t>
            </w:r>
          </w:p>
          <w:p w14:paraId="0F9487C4" w14:textId="77777777" w:rsidR="00217966" w:rsidRDefault="00217966" w:rsidP="00217966">
            <w:pPr>
              <w:rPr>
                <w:color w:val="000000" w:themeColor="text1"/>
              </w:rPr>
            </w:pPr>
          </w:p>
          <w:p w14:paraId="50293641" w14:textId="77777777" w:rsidR="00217966" w:rsidRPr="004E61C4" w:rsidRDefault="00217966" w:rsidP="00217966">
            <w:pPr>
              <w:rPr>
                <w:color w:val="000000" w:themeColor="text1"/>
              </w:rPr>
            </w:pPr>
            <w:r w:rsidRPr="004E61C4">
              <w:rPr>
                <w:color w:val="000000" w:themeColor="text1"/>
              </w:rPr>
              <w:t>Måling av kroppstemperatur og urinanalyse.</w:t>
            </w:r>
          </w:p>
        </w:tc>
        <w:tc>
          <w:tcPr>
            <w:tcW w:w="783" w:type="pct"/>
          </w:tcPr>
          <w:p w14:paraId="58134376" w14:textId="77777777" w:rsidR="00217966" w:rsidRPr="004E61C4" w:rsidRDefault="00217966" w:rsidP="00217966">
            <w:pPr>
              <w:rPr>
                <w:color w:val="000000" w:themeColor="text1"/>
              </w:rPr>
            </w:pPr>
            <w:r w:rsidRPr="004E61C4">
              <w:rPr>
                <w:color w:val="000000" w:themeColor="text1"/>
              </w:rPr>
              <w:t>- 0,41 %</w:t>
            </w:r>
          </w:p>
          <w:p w14:paraId="760FFCA0" w14:textId="77777777" w:rsidR="00217966" w:rsidRPr="004E61C4" w:rsidRDefault="00217966" w:rsidP="00217966">
            <w:pPr>
              <w:rPr>
                <w:color w:val="000000" w:themeColor="text1"/>
              </w:rPr>
            </w:pPr>
          </w:p>
          <w:p w14:paraId="5E5B8281" w14:textId="77777777" w:rsidR="00217966" w:rsidRPr="004E61C4" w:rsidRDefault="00217966" w:rsidP="00217966">
            <w:pPr>
              <w:rPr>
                <w:color w:val="000000" w:themeColor="text1"/>
              </w:rPr>
            </w:pPr>
            <w:r w:rsidRPr="004E61C4">
              <w:rPr>
                <w:color w:val="000000" w:themeColor="text1"/>
              </w:rPr>
              <w:t>Ikke sig.</w:t>
            </w:r>
          </w:p>
        </w:tc>
      </w:tr>
      <w:tr w:rsidR="00217966" w:rsidRPr="004E61C4" w14:paraId="23EF1E96" w14:textId="77777777" w:rsidTr="00217966">
        <w:trPr>
          <w:trHeight w:val="2226"/>
        </w:trPr>
        <w:tc>
          <w:tcPr>
            <w:tcW w:w="797" w:type="pct"/>
          </w:tcPr>
          <w:p w14:paraId="6281F067" w14:textId="77777777" w:rsidR="00217966" w:rsidRPr="004E61C4" w:rsidRDefault="00217966" w:rsidP="00217966">
            <w:r w:rsidRPr="004E61C4">
              <w:t xml:space="preserve">Bambaeichi et al. (2004) </w:t>
            </w:r>
          </w:p>
        </w:tc>
        <w:tc>
          <w:tcPr>
            <w:tcW w:w="1070" w:type="pct"/>
          </w:tcPr>
          <w:p w14:paraId="2DF0810D" w14:textId="77777777" w:rsidR="00217966" w:rsidRPr="004E61C4" w:rsidRDefault="00217966" w:rsidP="00217966">
            <w:r w:rsidRPr="004E61C4">
              <w:t>N=8</w:t>
            </w:r>
          </w:p>
          <w:p w14:paraId="7E939D32" w14:textId="77777777" w:rsidR="00217966" w:rsidRPr="004E61C4" w:rsidRDefault="00217966" w:rsidP="00217966"/>
          <w:p w14:paraId="00028054" w14:textId="77777777" w:rsidR="00217966" w:rsidRPr="004E61C4" w:rsidRDefault="00217966" w:rsidP="00217966">
            <w:r w:rsidRPr="004E61C4">
              <w:t xml:space="preserve">30 </w:t>
            </w:r>
            <w:r w:rsidRPr="004E61C4">
              <w:sym w:font="Symbol" w:char="F0B1"/>
            </w:r>
            <w:r w:rsidRPr="004E61C4">
              <w:t xml:space="preserve"> 5.0</w:t>
            </w:r>
          </w:p>
          <w:p w14:paraId="7B01BF0C" w14:textId="77777777" w:rsidR="00217966" w:rsidRPr="004E61C4" w:rsidRDefault="00217966" w:rsidP="00217966"/>
          <w:p w14:paraId="0D0B39D5" w14:textId="77777777" w:rsidR="00217966" w:rsidRPr="004E61C4" w:rsidRDefault="00217966" w:rsidP="00217966">
            <w:r w:rsidRPr="004E61C4">
              <w:t>Stillesittende eumenorrheiske kvinner</w:t>
            </w:r>
          </w:p>
        </w:tc>
        <w:tc>
          <w:tcPr>
            <w:tcW w:w="1085" w:type="pct"/>
          </w:tcPr>
          <w:p w14:paraId="02B65535" w14:textId="77777777" w:rsidR="00217966" w:rsidRPr="00594AFD" w:rsidRDefault="00217966" w:rsidP="00217966">
            <w:pPr>
              <w:rPr>
                <w:color w:val="000000" w:themeColor="text1"/>
                <w:lang w:val="en-US"/>
              </w:rPr>
            </w:pPr>
            <w:proofErr w:type="spellStart"/>
            <w:r w:rsidRPr="00594AFD">
              <w:rPr>
                <w:color w:val="000000" w:themeColor="text1"/>
                <w:lang w:val="en-US"/>
              </w:rPr>
              <w:t>Longitudinell</w:t>
            </w:r>
            <w:proofErr w:type="spellEnd"/>
            <w:r w:rsidRPr="00594AFD">
              <w:rPr>
                <w:color w:val="000000" w:themeColor="text1"/>
                <w:lang w:val="en-US"/>
              </w:rPr>
              <w:t xml:space="preserve"> </w:t>
            </w:r>
            <w:proofErr w:type="spellStart"/>
            <w:r w:rsidRPr="00594AFD">
              <w:rPr>
                <w:color w:val="000000" w:themeColor="text1"/>
                <w:lang w:val="en-US"/>
              </w:rPr>
              <w:t>observasjons-studie</w:t>
            </w:r>
            <w:proofErr w:type="spellEnd"/>
            <w:r w:rsidRPr="00594AFD">
              <w:rPr>
                <w:color w:val="000000" w:themeColor="text1"/>
                <w:lang w:val="en-US"/>
              </w:rPr>
              <w:t xml:space="preserve">. </w:t>
            </w:r>
          </w:p>
          <w:p w14:paraId="27EF87E8" w14:textId="77777777" w:rsidR="00217966" w:rsidRPr="00594AFD" w:rsidRDefault="00217966" w:rsidP="00217966">
            <w:pPr>
              <w:rPr>
                <w:lang w:val="en-US"/>
              </w:rPr>
            </w:pPr>
          </w:p>
          <w:p w14:paraId="685CF4C1" w14:textId="77777777" w:rsidR="00594AFD" w:rsidRDefault="00594AFD" w:rsidP="00217966">
            <w:pPr>
              <w:rPr>
                <w:lang w:val="en-US"/>
              </w:rPr>
            </w:pPr>
            <w:r w:rsidRPr="00594AFD">
              <w:rPr>
                <w:lang w:val="en-US"/>
              </w:rPr>
              <w:t>Two-w</w:t>
            </w:r>
            <w:r>
              <w:rPr>
                <w:lang w:val="en-US"/>
              </w:rPr>
              <w:t>ay ANOVA</w:t>
            </w:r>
          </w:p>
          <w:p w14:paraId="2B3D84DC" w14:textId="5126732B" w:rsidR="00A109B2" w:rsidRPr="00594AFD" w:rsidRDefault="00A109B2" w:rsidP="00217966">
            <w:pPr>
              <w:rPr>
                <w:lang w:val="en-US"/>
              </w:rPr>
            </w:pPr>
            <w:r>
              <w:rPr>
                <w:color w:val="000000" w:themeColor="text1"/>
              </w:rPr>
              <w:t>P &lt; 0.05</w:t>
            </w:r>
          </w:p>
        </w:tc>
        <w:tc>
          <w:tcPr>
            <w:tcW w:w="1265" w:type="pct"/>
          </w:tcPr>
          <w:p w14:paraId="721EB187" w14:textId="77777777" w:rsidR="00217966" w:rsidRDefault="00217966" w:rsidP="00217966">
            <w:r w:rsidRPr="004E61C4">
              <w:t>Maksimal isometrisk styrke i kneekstensoren</w:t>
            </w:r>
          </w:p>
          <w:p w14:paraId="1E8D7E6F" w14:textId="77777777" w:rsidR="00217966" w:rsidRDefault="00217966" w:rsidP="00217966"/>
          <w:p w14:paraId="35381B80" w14:textId="77777777" w:rsidR="00217966" w:rsidRPr="004E61C4" w:rsidRDefault="00217966" w:rsidP="00217966">
            <w:r w:rsidRPr="004E61C4">
              <w:t>Måling av kroppstemperatur</w:t>
            </w:r>
          </w:p>
        </w:tc>
        <w:tc>
          <w:tcPr>
            <w:tcW w:w="783" w:type="pct"/>
          </w:tcPr>
          <w:p w14:paraId="4483D9A9" w14:textId="77777777" w:rsidR="00217966" w:rsidRPr="004E61C4" w:rsidRDefault="00217966" w:rsidP="00217966">
            <w:r w:rsidRPr="004E61C4">
              <w:t>- 3.91%</w:t>
            </w:r>
          </w:p>
          <w:p w14:paraId="11421245" w14:textId="77777777" w:rsidR="00217966" w:rsidRPr="004E61C4" w:rsidRDefault="00217966" w:rsidP="00217966"/>
          <w:p w14:paraId="2EC3ADCB" w14:textId="77777777" w:rsidR="00217966" w:rsidRPr="004E61C4" w:rsidRDefault="00217966" w:rsidP="00217966">
            <w:r w:rsidRPr="004E61C4">
              <w:t>Ikke sig.</w:t>
            </w:r>
          </w:p>
        </w:tc>
      </w:tr>
      <w:tr w:rsidR="00217966" w:rsidRPr="004E61C4" w14:paraId="5746D7FA" w14:textId="77777777" w:rsidTr="00217966">
        <w:trPr>
          <w:trHeight w:val="2226"/>
        </w:trPr>
        <w:tc>
          <w:tcPr>
            <w:tcW w:w="797" w:type="pct"/>
          </w:tcPr>
          <w:p w14:paraId="2775322A" w14:textId="77777777" w:rsidR="00217966" w:rsidRPr="004E61C4" w:rsidRDefault="00217966" w:rsidP="00217966">
            <w:r w:rsidRPr="004E61C4">
              <w:t>Janse de Jonge et al. (2001)</w:t>
            </w:r>
          </w:p>
        </w:tc>
        <w:tc>
          <w:tcPr>
            <w:tcW w:w="1070" w:type="pct"/>
          </w:tcPr>
          <w:p w14:paraId="56124EA5" w14:textId="77777777" w:rsidR="00217966" w:rsidRPr="004E61C4" w:rsidRDefault="00217966" w:rsidP="00217966">
            <w:r w:rsidRPr="004E61C4">
              <w:t>N=15</w:t>
            </w:r>
          </w:p>
          <w:p w14:paraId="17600488" w14:textId="77777777" w:rsidR="00217966" w:rsidRPr="004E61C4" w:rsidRDefault="00217966" w:rsidP="00217966"/>
          <w:p w14:paraId="599AA128" w14:textId="77777777" w:rsidR="00217966" w:rsidRPr="004E61C4" w:rsidRDefault="00217966" w:rsidP="00217966">
            <w:r w:rsidRPr="004E61C4">
              <w:t xml:space="preserve">29.9 </w:t>
            </w:r>
            <w:r w:rsidRPr="004E61C4">
              <w:sym w:font="Symbol" w:char="F0B1"/>
            </w:r>
            <w:r w:rsidRPr="004E61C4">
              <w:t xml:space="preserve"> 8.0</w:t>
            </w:r>
          </w:p>
          <w:p w14:paraId="1C256DE0" w14:textId="77777777" w:rsidR="00217966" w:rsidRPr="004E61C4" w:rsidRDefault="00217966" w:rsidP="00217966"/>
          <w:p w14:paraId="62F4E4E4" w14:textId="77777777" w:rsidR="00217966" w:rsidRPr="004E61C4" w:rsidRDefault="00217966" w:rsidP="00217966">
            <w:r w:rsidRPr="004E61C4">
              <w:t>Eumenorrheiske kvinner</w:t>
            </w:r>
          </w:p>
        </w:tc>
        <w:tc>
          <w:tcPr>
            <w:tcW w:w="1085" w:type="pct"/>
          </w:tcPr>
          <w:p w14:paraId="67FDF9B5" w14:textId="77777777" w:rsidR="00217966" w:rsidRPr="00594AFD" w:rsidRDefault="00217966" w:rsidP="00217966">
            <w:pPr>
              <w:rPr>
                <w:color w:val="000000" w:themeColor="text1"/>
                <w:lang w:val="en-US"/>
              </w:rPr>
            </w:pPr>
            <w:proofErr w:type="spellStart"/>
            <w:r w:rsidRPr="00594AFD">
              <w:rPr>
                <w:color w:val="000000" w:themeColor="text1"/>
                <w:lang w:val="en-US"/>
              </w:rPr>
              <w:t>Longitudinell</w:t>
            </w:r>
            <w:proofErr w:type="spellEnd"/>
            <w:r w:rsidRPr="00594AFD">
              <w:rPr>
                <w:color w:val="000000" w:themeColor="text1"/>
                <w:lang w:val="en-US"/>
              </w:rPr>
              <w:t xml:space="preserve"> </w:t>
            </w:r>
            <w:proofErr w:type="spellStart"/>
            <w:r w:rsidRPr="00594AFD">
              <w:rPr>
                <w:color w:val="000000" w:themeColor="text1"/>
                <w:lang w:val="en-US"/>
              </w:rPr>
              <w:t>observasjons-studie</w:t>
            </w:r>
            <w:proofErr w:type="spellEnd"/>
            <w:r w:rsidRPr="00594AFD">
              <w:rPr>
                <w:color w:val="000000" w:themeColor="text1"/>
                <w:lang w:val="en-US"/>
              </w:rPr>
              <w:t xml:space="preserve">. </w:t>
            </w:r>
          </w:p>
          <w:p w14:paraId="156190C3" w14:textId="77777777" w:rsidR="00217966" w:rsidRPr="00594AFD" w:rsidRDefault="00217966" w:rsidP="00217966">
            <w:pPr>
              <w:rPr>
                <w:lang w:val="en-US"/>
              </w:rPr>
            </w:pPr>
          </w:p>
          <w:p w14:paraId="5AFB53EB" w14:textId="31FB7556" w:rsidR="00217966" w:rsidRPr="00594AFD" w:rsidRDefault="00594AFD" w:rsidP="00217966">
            <w:pPr>
              <w:rPr>
                <w:lang w:val="en-US"/>
              </w:rPr>
            </w:pPr>
            <w:r w:rsidRPr="00594AFD">
              <w:rPr>
                <w:lang w:val="en-US"/>
              </w:rPr>
              <w:t>One-way ANOV</w:t>
            </w:r>
            <w:r>
              <w:rPr>
                <w:lang w:val="en-US"/>
              </w:rPr>
              <w:t>A</w:t>
            </w:r>
          </w:p>
          <w:p w14:paraId="76CF385B" w14:textId="15FCB0A4" w:rsidR="00217966" w:rsidRPr="00594AFD" w:rsidRDefault="0005179B" w:rsidP="00217966">
            <w:pPr>
              <w:rPr>
                <w:lang w:val="en-US"/>
              </w:rPr>
            </w:pPr>
            <w:r>
              <w:rPr>
                <w:color w:val="000000" w:themeColor="text1"/>
              </w:rPr>
              <w:t>P &lt; 0.05</w:t>
            </w:r>
          </w:p>
        </w:tc>
        <w:tc>
          <w:tcPr>
            <w:tcW w:w="1265" w:type="pct"/>
          </w:tcPr>
          <w:p w14:paraId="06B20109" w14:textId="77777777" w:rsidR="00217966" w:rsidRDefault="00217966" w:rsidP="00217966">
            <w:r w:rsidRPr="004E61C4">
              <w:t>Maksimal isometrisk styrke i quadriceps.</w:t>
            </w:r>
          </w:p>
          <w:p w14:paraId="75DE610D" w14:textId="77777777" w:rsidR="00217966" w:rsidRDefault="00217966" w:rsidP="00217966"/>
          <w:p w14:paraId="6F3E250F" w14:textId="77777777" w:rsidR="00217966" w:rsidRPr="004E61C4" w:rsidRDefault="00217966" w:rsidP="00217966">
            <w:r w:rsidRPr="004E61C4">
              <w:t>Måling av kroppstemperatur og hormonanalyse</w:t>
            </w:r>
          </w:p>
        </w:tc>
        <w:tc>
          <w:tcPr>
            <w:tcW w:w="783" w:type="pct"/>
          </w:tcPr>
          <w:p w14:paraId="3E209BAC" w14:textId="77777777" w:rsidR="00217966" w:rsidRPr="004E61C4" w:rsidRDefault="00217966" w:rsidP="00217966">
            <w:r w:rsidRPr="004E61C4">
              <w:t>+ 3.44%</w:t>
            </w:r>
          </w:p>
          <w:p w14:paraId="0400ECA1" w14:textId="77777777" w:rsidR="00217966" w:rsidRPr="004E61C4" w:rsidRDefault="00217966" w:rsidP="00217966"/>
          <w:p w14:paraId="3282997B" w14:textId="77777777" w:rsidR="00217966" w:rsidRPr="004E61C4" w:rsidRDefault="00217966" w:rsidP="00217966">
            <w:r w:rsidRPr="004E61C4">
              <w:t>Ikke sig.</w:t>
            </w:r>
          </w:p>
        </w:tc>
      </w:tr>
      <w:tr w:rsidR="00217966" w:rsidRPr="004E61C4" w14:paraId="3BF6CD8D" w14:textId="77777777" w:rsidTr="00217966">
        <w:trPr>
          <w:trHeight w:val="2226"/>
        </w:trPr>
        <w:tc>
          <w:tcPr>
            <w:tcW w:w="797" w:type="pct"/>
          </w:tcPr>
          <w:p w14:paraId="53D878EC" w14:textId="77777777" w:rsidR="00217966" w:rsidRPr="004E61C4" w:rsidRDefault="00217966" w:rsidP="00217966">
            <w:r w:rsidRPr="004E61C4">
              <w:t>Fridén et al. (2003)</w:t>
            </w:r>
          </w:p>
        </w:tc>
        <w:tc>
          <w:tcPr>
            <w:tcW w:w="1070" w:type="pct"/>
          </w:tcPr>
          <w:p w14:paraId="32A3CD2D" w14:textId="77777777" w:rsidR="00217966" w:rsidRPr="004E61C4" w:rsidRDefault="00217966" w:rsidP="00217966">
            <w:r w:rsidRPr="004E61C4">
              <w:t>N=10</w:t>
            </w:r>
          </w:p>
          <w:p w14:paraId="51031036" w14:textId="77777777" w:rsidR="00217966" w:rsidRPr="004E61C4" w:rsidRDefault="00217966" w:rsidP="00217966"/>
          <w:p w14:paraId="7D91D1CA" w14:textId="77777777" w:rsidR="00217966" w:rsidRPr="004E61C4" w:rsidRDefault="00217966" w:rsidP="00217966">
            <w:r w:rsidRPr="004E61C4">
              <w:t xml:space="preserve">25.3 </w:t>
            </w:r>
            <w:r w:rsidRPr="004E61C4">
              <w:sym w:font="Symbol" w:char="F0B1"/>
            </w:r>
            <w:r w:rsidRPr="004E61C4">
              <w:t xml:space="preserve"> 3.7</w:t>
            </w:r>
          </w:p>
          <w:p w14:paraId="5E2A1AFB" w14:textId="77777777" w:rsidR="00217966" w:rsidRPr="004E61C4" w:rsidRDefault="00217966" w:rsidP="00217966"/>
          <w:p w14:paraId="1059FEE8" w14:textId="77777777" w:rsidR="00217966" w:rsidRPr="004E61C4" w:rsidRDefault="00217966" w:rsidP="00217966">
            <w:r w:rsidRPr="004E61C4">
              <w:t>Eumenorrheiske kvinner.</w:t>
            </w:r>
          </w:p>
        </w:tc>
        <w:tc>
          <w:tcPr>
            <w:tcW w:w="1085" w:type="pct"/>
          </w:tcPr>
          <w:p w14:paraId="6794B716" w14:textId="77777777" w:rsidR="00217966" w:rsidRDefault="00217966" w:rsidP="00217966">
            <w:pPr>
              <w:rPr>
                <w:color w:val="000000" w:themeColor="text1"/>
              </w:rPr>
            </w:pPr>
            <w:r>
              <w:rPr>
                <w:color w:val="000000" w:themeColor="text1"/>
              </w:rPr>
              <w:t xml:space="preserve">Longitudinell observasjons-studie. </w:t>
            </w:r>
          </w:p>
          <w:p w14:paraId="70ACC6D0" w14:textId="77777777" w:rsidR="00217966" w:rsidRDefault="00217966" w:rsidP="00217966"/>
          <w:p w14:paraId="20465399" w14:textId="77777777" w:rsidR="00594AFD" w:rsidRDefault="00594AFD" w:rsidP="00217966">
            <w:proofErr w:type="spellStart"/>
            <w:r>
              <w:t>Two-way</w:t>
            </w:r>
            <w:proofErr w:type="spellEnd"/>
            <w:r>
              <w:t xml:space="preserve"> </w:t>
            </w:r>
            <w:proofErr w:type="spellStart"/>
            <w:r>
              <w:t>ANOVA</w:t>
            </w:r>
            <w:proofErr w:type="spellEnd"/>
          </w:p>
          <w:p w14:paraId="4F40B8A8" w14:textId="4501DA91" w:rsidR="0005179B" w:rsidRPr="004E61C4" w:rsidRDefault="0005179B" w:rsidP="00217966">
            <w:r>
              <w:rPr>
                <w:color w:val="000000" w:themeColor="text1"/>
              </w:rPr>
              <w:t>P &lt; 0.05</w:t>
            </w:r>
          </w:p>
        </w:tc>
        <w:tc>
          <w:tcPr>
            <w:tcW w:w="1265" w:type="pct"/>
          </w:tcPr>
          <w:p w14:paraId="00F8F3EE" w14:textId="77777777" w:rsidR="00217966" w:rsidRDefault="00217966" w:rsidP="00217966">
            <w:r w:rsidRPr="004E61C4">
              <w:t>Isokinetisk dreiemoment i kneledd.</w:t>
            </w:r>
          </w:p>
          <w:p w14:paraId="69B29E57" w14:textId="77777777" w:rsidR="00217966" w:rsidRDefault="00217966" w:rsidP="00217966"/>
          <w:p w14:paraId="0471683F" w14:textId="77777777" w:rsidR="00217966" w:rsidRPr="004E61C4" w:rsidRDefault="00217966" w:rsidP="00217966">
            <w:r w:rsidRPr="004E61C4">
              <w:t>Hormon- og urinanalyse.</w:t>
            </w:r>
          </w:p>
        </w:tc>
        <w:tc>
          <w:tcPr>
            <w:tcW w:w="783" w:type="pct"/>
          </w:tcPr>
          <w:p w14:paraId="0DB8E267" w14:textId="77777777" w:rsidR="00217966" w:rsidRPr="004E61C4" w:rsidRDefault="00217966" w:rsidP="00217966">
            <w:r w:rsidRPr="004E61C4">
              <w:t>+ 0.69%</w:t>
            </w:r>
          </w:p>
          <w:p w14:paraId="08D22EA9" w14:textId="77777777" w:rsidR="00217966" w:rsidRPr="004E61C4" w:rsidRDefault="00217966" w:rsidP="00217966"/>
          <w:p w14:paraId="0254C770" w14:textId="77777777" w:rsidR="00217966" w:rsidRPr="004E61C4" w:rsidRDefault="00217966" w:rsidP="00217966">
            <w:r w:rsidRPr="004E61C4">
              <w:t xml:space="preserve">Ikke sig. </w:t>
            </w:r>
          </w:p>
          <w:p w14:paraId="0973D674" w14:textId="77777777" w:rsidR="00217966" w:rsidRPr="004E61C4" w:rsidRDefault="00217966" w:rsidP="00217966"/>
        </w:tc>
      </w:tr>
      <w:tr w:rsidR="00217966" w:rsidRPr="004E61C4" w14:paraId="762D07A2" w14:textId="77777777" w:rsidTr="00217966">
        <w:trPr>
          <w:trHeight w:val="2226"/>
        </w:trPr>
        <w:tc>
          <w:tcPr>
            <w:tcW w:w="797" w:type="pct"/>
          </w:tcPr>
          <w:p w14:paraId="0638678B" w14:textId="77777777" w:rsidR="00217966" w:rsidRPr="004E61C4" w:rsidRDefault="00217966" w:rsidP="00217966">
            <w:r w:rsidRPr="004E61C4">
              <w:t>LeBrun et al. (1995)</w:t>
            </w:r>
          </w:p>
        </w:tc>
        <w:tc>
          <w:tcPr>
            <w:tcW w:w="1070" w:type="pct"/>
          </w:tcPr>
          <w:p w14:paraId="3CE8F512" w14:textId="77777777" w:rsidR="00217966" w:rsidRPr="004E61C4" w:rsidRDefault="00217966" w:rsidP="00217966">
            <w:r w:rsidRPr="004E61C4">
              <w:t>N=16</w:t>
            </w:r>
          </w:p>
          <w:p w14:paraId="500E8882" w14:textId="77777777" w:rsidR="00217966" w:rsidRPr="004E61C4" w:rsidRDefault="00217966" w:rsidP="00217966"/>
          <w:p w14:paraId="5897BC51" w14:textId="77777777" w:rsidR="00217966" w:rsidRPr="004E61C4" w:rsidRDefault="00217966" w:rsidP="00217966">
            <w:r w:rsidRPr="004E61C4">
              <w:t xml:space="preserve">27.6 </w:t>
            </w:r>
            <w:r w:rsidRPr="004E61C4">
              <w:sym w:font="Symbol" w:char="F0B1"/>
            </w:r>
            <w:r w:rsidRPr="004E61C4">
              <w:t xml:space="preserve"> 3.8</w:t>
            </w:r>
          </w:p>
          <w:p w14:paraId="50204824" w14:textId="77777777" w:rsidR="00217966" w:rsidRPr="004E61C4" w:rsidRDefault="00217966" w:rsidP="00217966"/>
          <w:p w14:paraId="017C6952" w14:textId="77777777" w:rsidR="00217966" w:rsidRPr="004E61C4" w:rsidRDefault="00217966" w:rsidP="00217966">
            <w:r w:rsidRPr="004E61C4">
              <w:t xml:space="preserve">Eumenorrheiske kvinner med VO2max </w:t>
            </w:r>
            <w:r w:rsidRPr="004E61C4">
              <w:sym w:font="Symbol" w:char="F0B3"/>
            </w:r>
            <w:r w:rsidRPr="004E61C4">
              <w:t xml:space="preserve"> 50</w:t>
            </w:r>
            <w:r w:rsidRPr="004E61C4">
              <w:rPr>
                <w:color w:val="000000" w:themeColor="text1"/>
              </w:rPr>
              <w:t xml:space="preserve"> ml</w:t>
            </w:r>
            <w:r w:rsidRPr="004E61C4">
              <w:rPr>
                <w:color w:val="000000" w:themeColor="text1"/>
                <w:shd w:val="clear" w:color="auto" w:fill="FFFFFF"/>
              </w:rPr>
              <w:t>·</w:t>
            </w:r>
            <w:r w:rsidRPr="004E61C4">
              <w:rPr>
                <w:color w:val="000000" w:themeColor="text1"/>
              </w:rPr>
              <w:t>kg</w:t>
            </w:r>
            <w:r w:rsidRPr="004E61C4">
              <w:rPr>
                <w:color w:val="000000" w:themeColor="text1"/>
                <w:vertAlign w:val="superscript"/>
              </w:rPr>
              <w:t>-1</w:t>
            </w:r>
            <w:r w:rsidRPr="004E61C4">
              <w:rPr>
                <w:color w:val="000000" w:themeColor="text1"/>
                <w:shd w:val="clear" w:color="auto" w:fill="FFFFFF"/>
              </w:rPr>
              <w:t>·</w:t>
            </w:r>
            <w:r w:rsidRPr="004E61C4">
              <w:rPr>
                <w:color w:val="000000" w:themeColor="text1"/>
              </w:rPr>
              <w:t>min</w:t>
            </w:r>
            <w:r w:rsidRPr="004E61C4">
              <w:rPr>
                <w:color w:val="000000" w:themeColor="text1"/>
                <w:vertAlign w:val="superscript"/>
              </w:rPr>
              <w:t>-1</w:t>
            </w:r>
          </w:p>
        </w:tc>
        <w:tc>
          <w:tcPr>
            <w:tcW w:w="1085" w:type="pct"/>
          </w:tcPr>
          <w:p w14:paraId="1CE112E8" w14:textId="77777777" w:rsidR="00217966" w:rsidRDefault="00217966" w:rsidP="00217966">
            <w:pPr>
              <w:rPr>
                <w:color w:val="000000" w:themeColor="text1"/>
              </w:rPr>
            </w:pPr>
            <w:r>
              <w:rPr>
                <w:color w:val="000000" w:themeColor="text1"/>
              </w:rPr>
              <w:t xml:space="preserve">Longitudinell observasjons-studie. </w:t>
            </w:r>
          </w:p>
          <w:p w14:paraId="1F7EC551" w14:textId="77777777" w:rsidR="00217966" w:rsidRDefault="00217966" w:rsidP="00217966"/>
          <w:p w14:paraId="7261A5C3" w14:textId="77777777" w:rsidR="00594AFD" w:rsidRDefault="00594AFD" w:rsidP="00217966">
            <w:r>
              <w:t>«</w:t>
            </w:r>
            <w:proofErr w:type="spellStart"/>
            <w:r>
              <w:t>power</w:t>
            </w:r>
            <w:proofErr w:type="spellEnd"/>
            <w:r>
              <w:t>» og t-test</w:t>
            </w:r>
          </w:p>
          <w:p w14:paraId="3710FF3A" w14:textId="77777777" w:rsidR="00594AFD" w:rsidRDefault="00594AFD" w:rsidP="00217966">
            <w:proofErr w:type="spellStart"/>
            <w:r>
              <w:t>power</w:t>
            </w:r>
            <w:proofErr w:type="spellEnd"/>
            <w:r>
              <w:t xml:space="preserve"> = 90%</w:t>
            </w:r>
          </w:p>
          <w:p w14:paraId="019F16E4" w14:textId="5C8ED1CE" w:rsidR="00594AFD" w:rsidRPr="004E61C4" w:rsidRDefault="00A6341C" w:rsidP="00217966">
            <w:r>
              <w:sym w:font="Symbol" w:char="F061"/>
            </w:r>
            <w:r>
              <w:t xml:space="preserve"> = 0.05</w:t>
            </w:r>
          </w:p>
        </w:tc>
        <w:tc>
          <w:tcPr>
            <w:tcW w:w="1265" w:type="pct"/>
          </w:tcPr>
          <w:p w14:paraId="4F3DE82E" w14:textId="77777777" w:rsidR="00217966" w:rsidRDefault="00217966" w:rsidP="00217966">
            <w:r w:rsidRPr="004E61C4">
              <w:t>Isokinetisk dreiemoment i kneledd.</w:t>
            </w:r>
          </w:p>
          <w:p w14:paraId="15010984" w14:textId="77777777" w:rsidR="00217966" w:rsidRDefault="00217966" w:rsidP="00217966"/>
          <w:p w14:paraId="63D6B749" w14:textId="77777777" w:rsidR="00217966" w:rsidRPr="004E61C4" w:rsidRDefault="00217966" w:rsidP="00217966">
            <w:r w:rsidRPr="004E61C4">
              <w:t>Måling av kroppstemperatur og hormonanalyse</w:t>
            </w:r>
          </w:p>
        </w:tc>
        <w:tc>
          <w:tcPr>
            <w:tcW w:w="783" w:type="pct"/>
          </w:tcPr>
          <w:p w14:paraId="3F425D69" w14:textId="77777777" w:rsidR="00217966" w:rsidRPr="004E61C4" w:rsidRDefault="00217966" w:rsidP="00217966">
            <w:r w:rsidRPr="004E61C4">
              <w:t>- 0.97%</w:t>
            </w:r>
          </w:p>
          <w:p w14:paraId="70066294" w14:textId="77777777" w:rsidR="00217966" w:rsidRPr="004E61C4" w:rsidRDefault="00217966" w:rsidP="00217966"/>
          <w:p w14:paraId="4000B503" w14:textId="77777777" w:rsidR="00217966" w:rsidRPr="004E61C4" w:rsidRDefault="00217966" w:rsidP="00217966">
            <w:r w:rsidRPr="004E61C4">
              <w:t>Ikke sig.</w:t>
            </w:r>
          </w:p>
        </w:tc>
      </w:tr>
    </w:tbl>
    <w:p w14:paraId="3CA9CAF2" w14:textId="7B469360" w:rsidR="00E84DBD" w:rsidRPr="00E84DBD" w:rsidRDefault="00E84DBD" w:rsidP="000661ED">
      <w:pPr>
        <w:pStyle w:val="NormalWeb"/>
        <w:spacing w:line="360" w:lineRule="auto"/>
      </w:pPr>
      <w:r>
        <w:rPr>
          <w:b/>
          <w:bCs/>
        </w:rPr>
        <w:t>Tabell 1.</w:t>
      </w:r>
      <w:r w:rsidR="00217966">
        <w:rPr>
          <w:b/>
          <w:bCs/>
        </w:rPr>
        <w:t xml:space="preserve"> S</w:t>
      </w:r>
      <w:r>
        <w:t>ammenfatning av de fem studienes</w:t>
      </w:r>
      <w:r w:rsidR="00217966">
        <w:t xml:space="preserve"> utvalg, studiedesign, protokoller og resultat. </w:t>
      </w:r>
    </w:p>
    <w:p w14:paraId="0F0D96DF" w14:textId="34416498" w:rsidR="004E61C4" w:rsidRPr="004E61C4" w:rsidRDefault="004E61C4" w:rsidP="00067ACC">
      <w:pPr>
        <w:spacing w:line="360" w:lineRule="auto"/>
      </w:pPr>
      <w:r w:rsidRPr="004E61C4">
        <w:t>Forkortelser: n=antall, ikke sig. = ikke gjort signifikant funn i forskjell mellom fasene.</w:t>
      </w:r>
    </w:p>
    <w:p w14:paraId="79C24E9D" w14:textId="77777777" w:rsidR="004E61C4" w:rsidRDefault="004E61C4" w:rsidP="00067ACC">
      <w:pPr>
        <w:spacing w:line="360" w:lineRule="auto"/>
        <w:rPr>
          <w:b/>
          <w:bCs/>
        </w:rPr>
      </w:pPr>
    </w:p>
    <w:p w14:paraId="16D717EC" w14:textId="6A3B2333" w:rsidR="004E61C4" w:rsidRPr="00CA0A0A" w:rsidRDefault="004E61C4" w:rsidP="00067ACC">
      <w:pPr>
        <w:spacing w:line="360" w:lineRule="auto"/>
        <w:rPr>
          <w:b/>
          <w:bCs/>
          <w:sz w:val="28"/>
          <w:szCs w:val="28"/>
        </w:rPr>
      </w:pPr>
      <w:r w:rsidRPr="00CA0A0A">
        <w:rPr>
          <w:b/>
          <w:bCs/>
          <w:sz w:val="28"/>
          <w:szCs w:val="28"/>
        </w:rPr>
        <w:lastRenderedPageBreak/>
        <w:t>Diskusjon</w:t>
      </w:r>
    </w:p>
    <w:p w14:paraId="41A849C8" w14:textId="736B974E" w:rsidR="007259BF" w:rsidRPr="00E06842" w:rsidRDefault="00E84DBD" w:rsidP="00E06842">
      <w:pPr>
        <w:pStyle w:val="NormalWeb"/>
        <w:spacing w:line="360" w:lineRule="auto"/>
      </w:pPr>
      <w:r>
        <w:t xml:space="preserve">Totalt inkluderer de fem studiene 62 kvinner. </w:t>
      </w:r>
      <w:r w:rsidR="00CA0A0A">
        <w:t xml:space="preserve">Alle studiene inkluderer </w:t>
      </w:r>
      <w:r>
        <w:t>enkeltvis et</w:t>
      </w:r>
      <w:r w:rsidR="00CA0A0A">
        <w:t xml:space="preserve"> lite utval</w:t>
      </w:r>
      <w:r>
        <w:t>g</w:t>
      </w:r>
      <w:r w:rsidR="00D41A8C">
        <w:t xml:space="preserve"> som er inkludert basert på ulike inklusjons- og eksklusjonskriterier</w:t>
      </w:r>
      <w:r w:rsidR="00CA0A0A">
        <w:t xml:space="preserve">. </w:t>
      </w:r>
      <w:r>
        <w:t xml:space="preserve">Selv om alle studiene inkluderer eumenorrheiske kvinner, må resultatene likevel tolkes med forsiktighet. Dette grunner i at utvalgene er såpass små og varierende, at det er vanskelig å konkludere med noe som kan gjelde alle. Her spiller også temaets store individuelle forskjeller og kompleksitet inn. </w:t>
      </w:r>
      <w:r w:rsidR="00217966">
        <w:t xml:space="preserve">Hadde utvalgene vært større kan vi anta at studiene hadde hatt større </w:t>
      </w:r>
      <w:r w:rsidR="002B76A5">
        <w:t xml:space="preserve">statistisk kraft. Jo høyere denne kraften er, jo høyere er sannsynligheten for å oppdage en effekt dersom den eksisterer. Større </w:t>
      </w:r>
      <w:r w:rsidR="002B76A5" w:rsidRPr="00E06842">
        <w:t xml:space="preserve">utvalg minimerer sannsynligheten for at resultatene vi får er tilfeldige. </w:t>
      </w:r>
    </w:p>
    <w:p w14:paraId="33EA8558" w14:textId="23186AE0" w:rsidR="00E06842" w:rsidRDefault="002B76A5" w:rsidP="00E06842">
      <w:pPr>
        <w:pStyle w:val="NormalWeb"/>
        <w:spacing w:line="360" w:lineRule="auto"/>
      </w:pPr>
      <w:r w:rsidRPr="00E06842">
        <w:t xml:space="preserve">I de ulike studiene er det benyttet ulike protokoller for de fysiske testene og for verifisering av tidspunkt i syklus. </w:t>
      </w:r>
      <w:r w:rsidR="00E06842">
        <w:t>Dette skaper usikkerhet rundt de variablene (østrogen- og progesteronnivåene) som skal måles, og sammenligning på tvers av studier blir vanskeligere. Det er derfor lettere å se på studiene enkeltvis. Det er likevel viktig å igjen trekke frem at dette er studier med lav statistisk kraft</w:t>
      </w:r>
      <w:r w:rsidR="00DE19BF">
        <w:t xml:space="preserve"> sett utafra utvalgsstørrelsen</w:t>
      </w:r>
      <w:r w:rsidR="00E06842">
        <w:t>, og at de i liten grad kan brukes til å generalisere et svar overfor kvinner</w:t>
      </w:r>
      <w:r w:rsidR="0005179B">
        <w:t xml:space="preserve"> generelt</w:t>
      </w:r>
      <w:r w:rsidR="00E06842">
        <w:t>.</w:t>
      </w:r>
    </w:p>
    <w:p w14:paraId="0163FF9E" w14:textId="13336CDB" w:rsidR="00DD2679" w:rsidRDefault="00A6341C" w:rsidP="00A109B2">
      <w:pPr>
        <w:pStyle w:val="NormalWeb"/>
        <w:spacing w:line="360" w:lineRule="auto"/>
      </w:pPr>
      <w:r>
        <w:t xml:space="preserve">I Fridén et al. (2003) er prøvestørrelsen 10. </w:t>
      </w:r>
      <w:r w:rsidR="00590441">
        <w:t>Signifikansnivået (</w:t>
      </w:r>
      <w:r w:rsidR="00590441">
        <w:sym w:font="Symbol" w:char="F061"/>
      </w:r>
      <w:r w:rsidR="00590441">
        <w:t>) er her satt til 0.05. Artikkelen oppgir at de med one-</w:t>
      </w:r>
      <w:proofErr w:type="spellStart"/>
      <w:r w:rsidR="00590441">
        <w:t>way</w:t>
      </w:r>
      <w:proofErr w:type="spellEnd"/>
      <w:r w:rsidR="00590441">
        <w:t xml:space="preserve"> </w:t>
      </w:r>
      <w:proofErr w:type="spellStart"/>
      <w:r w:rsidR="00590441">
        <w:t>ANOVA</w:t>
      </w:r>
      <w:proofErr w:type="spellEnd"/>
      <w:r w:rsidR="00590441">
        <w:t xml:space="preserve"> testing vil ha 97% kraft til å oppdage en forskjell på 10%. Romero-Moraleda et al. (2019) oppgir i sin artikkel </w:t>
      </w:r>
      <w:r w:rsidR="00A109B2">
        <w:t xml:space="preserve">at de brukte en </w:t>
      </w:r>
      <w:proofErr w:type="spellStart"/>
      <w:r w:rsidR="00A109B2">
        <w:t>Shapiro</w:t>
      </w:r>
      <w:proofErr w:type="spellEnd"/>
      <w:r w:rsidR="00A109B2">
        <w:t>-</w:t>
      </w:r>
      <w:proofErr w:type="spellStart"/>
      <w:r w:rsidR="00A109B2">
        <w:t>Wilk</w:t>
      </w:r>
      <w:proofErr w:type="spellEnd"/>
      <w:r w:rsidR="00A109B2">
        <w:t>-test for å teste dataens normalitet. Den statistiske terskelen ble satt til p &lt; 0.05, og det ble brukt enveis variansanalyse av gjentatte mål (</w:t>
      </w:r>
      <w:proofErr w:type="spellStart"/>
      <w:r w:rsidR="00A109B2">
        <w:t>ANOVA</w:t>
      </w:r>
      <w:proofErr w:type="spellEnd"/>
      <w:r w:rsidR="00A109B2">
        <w:t>). Studien viser ikke til noen signifikante funn. Effektstørrelsen (ES) ble også beregnet for å tillate en størrelsesbasert slutningstilnærming. «</w:t>
      </w:r>
      <w:r w:rsidR="00A109B2" w:rsidRPr="00A109B2">
        <w:t xml:space="preserve">Spesifikt ble effektstørrelsesstatistikken ± 90 % konfidensintervall (CI) brukt på log-transformerte data for å redusere skjevhet på grunn av feilens ujevnhet. Den minste signifikante standardiserte effektterskelen ble satt til 0,2, og en kvalitativ </w:t>
      </w:r>
      <w:proofErr w:type="spellStart"/>
      <w:r w:rsidR="00A109B2" w:rsidRPr="00A109B2">
        <w:t>deskriptor</w:t>
      </w:r>
      <w:proofErr w:type="spellEnd"/>
      <w:r w:rsidR="00A109B2" w:rsidRPr="00A109B2">
        <w:t xml:space="preserve"> ble inkludert for å representere sannsynligheten for å overskride denne terskelen</w:t>
      </w:r>
      <w:r w:rsidR="00A109B2">
        <w:t xml:space="preserve">» (Romero-Moraleda et al., 2019). </w:t>
      </w:r>
    </w:p>
    <w:p w14:paraId="6464DBE6" w14:textId="000D12CB" w:rsidR="0005179B" w:rsidRDefault="00A109B2" w:rsidP="00A109B2">
      <w:pPr>
        <w:pStyle w:val="NormalWeb"/>
        <w:spacing w:line="360" w:lineRule="auto"/>
      </w:pPr>
      <w:r>
        <w:t xml:space="preserve">I Bambaeichi et al. (2004) </w:t>
      </w:r>
      <w:r w:rsidR="00662ABD">
        <w:t xml:space="preserve">ble </w:t>
      </w:r>
      <w:proofErr w:type="spellStart"/>
      <w:r w:rsidR="00662ABD">
        <w:t>Tukey</w:t>
      </w:r>
      <w:proofErr w:type="spellEnd"/>
      <w:r w:rsidR="00662ABD">
        <w:t xml:space="preserve"> HSD post-hoc analyse brukt i forbindelse med </w:t>
      </w:r>
      <w:proofErr w:type="spellStart"/>
      <w:r w:rsidR="00662ABD">
        <w:t>two-way</w:t>
      </w:r>
      <w:proofErr w:type="spellEnd"/>
      <w:r w:rsidR="00662ABD">
        <w:t xml:space="preserve"> </w:t>
      </w:r>
      <w:proofErr w:type="spellStart"/>
      <w:r w:rsidR="00662ABD">
        <w:t>ANOVA</w:t>
      </w:r>
      <w:proofErr w:type="spellEnd"/>
      <w:r w:rsidR="00662ABD">
        <w:t xml:space="preserve"> analysen. Denne analysen brukes for å lokalisere forskjeller mellom gruppene. Også her ble statistisk signifikansnivå satt til 0.05. I Janse de Jonge et al. (2001) ble test-retest-repeterbarheten til styrkeparameterne som ble målt gjennomført. En slik type test måler påliteligheten av styrkemålingene. </w:t>
      </w:r>
      <w:r w:rsidR="00DD2679">
        <w:t xml:space="preserve">Dette ble demonstrert med en </w:t>
      </w:r>
      <w:proofErr w:type="spellStart"/>
      <w:r w:rsidR="00DD2679">
        <w:t>intra</w:t>
      </w:r>
      <w:proofErr w:type="spellEnd"/>
      <w:r w:rsidR="00DD2679">
        <w:t>-</w:t>
      </w:r>
      <w:proofErr w:type="gramStart"/>
      <w:r w:rsidR="00DD2679">
        <w:t xml:space="preserve">klasse </w:t>
      </w:r>
      <w:r w:rsidR="00DD2679">
        <w:lastRenderedPageBreak/>
        <w:t>korrelasjonskoeffisient</w:t>
      </w:r>
      <w:proofErr w:type="gramEnd"/>
      <w:r w:rsidR="00DD2679">
        <w:t xml:space="preserve"> (ICC), som brukes til å måle konsistensen mellom målingene i test-</w:t>
      </w:r>
      <w:proofErr w:type="spellStart"/>
      <w:r w:rsidR="00DD2679">
        <w:t>retesten</w:t>
      </w:r>
      <w:proofErr w:type="spellEnd"/>
      <w:r w:rsidR="00DD2679">
        <w:t xml:space="preserve">. I dette tilfellet ble ICC-verdiene målt til mellom 0.88 til 0.96, noe som viser til høy grad av konsistens (1 = høy grad av konsistens). Dette er en god indikasjon på at resultatene gjenspeiler de virkelige styrkenivåer. I LeBrun et al. (1995) ble </w:t>
      </w:r>
      <w:proofErr w:type="spellStart"/>
      <w:r w:rsidR="00DD2679">
        <w:t>power</w:t>
      </w:r>
      <w:proofErr w:type="spellEnd"/>
      <w:r w:rsidR="00DD2679">
        <w:t xml:space="preserve"> målt ved bruk av gjennomsnitt og standardavvik for hver test. Signifikansnivået </w:t>
      </w:r>
      <w:r w:rsidR="00DD2679">
        <w:sym w:font="Symbol" w:char="F061"/>
      </w:r>
      <w:r w:rsidR="00DD2679">
        <w:t xml:space="preserve"> ble satt til 0.05, og </w:t>
      </w:r>
      <w:proofErr w:type="spellStart"/>
      <w:r w:rsidR="00DD2679">
        <w:t>poweren</w:t>
      </w:r>
      <w:proofErr w:type="spellEnd"/>
      <w:r w:rsidR="00DD2679">
        <w:t xml:space="preserve"> ble </w:t>
      </w:r>
      <w:r w:rsidR="003D11CB">
        <w:t xml:space="preserve">satt til 90%. Data fra testene ble analysert ved bruk av </w:t>
      </w:r>
      <w:r w:rsidR="0005179B">
        <w:t xml:space="preserve">en </w:t>
      </w:r>
      <w:proofErr w:type="spellStart"/>
      <w:r w:rsidR="0005179B">
        <w:t>student´s</w:t>
      </w:r>
      <w:proofErr w:type="spellEnd"/>
      <w:r w:rsidR="0005179B">
        <w:t xml:space="preserve"> t-test, som er en statistisk test som sammenligner </w:t>
      </w:r>
      <w:r w:rsidR="00E74E5A">
        <w:t>gjennomsnittene</w:t>
      </w:r>
      <w:r w:rsidR="0005179B">
        <w:t xml:space="preserve"> i to relaterte datasett. I dette tilfellet er data fra testene i follikulær- og </w:t>
      </w:r>
      <w:proofErr w:type="spellStart"/>
      <w:r w:rsidR="0005179B">
        <w:t>luteal</w:t>
      </w:r>
      <w:proofErr w:type="spellEnd"/>
      <w:r w:rsidR="0005179B">
        <w:t xml:space="preserve"> fase sammenlignet. Testen brukes til å fastslå om det er en signifikant forskjell mellom gjennomsnittene til de to datasettene. </w:t>
      </w:r>
    </w:p>
    <w:p w14:paraId="5C3D333F" w14:textId="69812D32" w:rsidR="0005179B" w:rsidRDefault="0005179B" w:rsidP="0005179B">
      <w:pPr>
        <w:pStyle w:val="NormalWeb"/>
        <w:spacing w:line="360" w:lineRule="auto"/>
      </w:pPr>
      <w:r w:rsidRPr="0005179B">
        <w:t xml:space="preserve">Som vi leser av </w:t>
      </w:r>
      <w:r w:rsidR="00E74E5A" w:rsidRPr="0005179B">
        <w:t>resultatene,</w:t>
      </w:r>
      <w:r w:rsidRPr="0005179B">
        <w:t xml:space="preserve"> har studiene benyttet seg av ulike statistiske analyser for å se på resultatenes pålitelighet og statistiske kraft. </w:t>
      </w:r>
      <w:r w:rsidR="00D41A8C">
        <w:t xml:space="preserve">Ingen av studiene viser til at det er forskjell i evnen til maksimal kraftutvikling i de ulike fasene av menstruasjonssyklus, noe som gjør at blant annet Fridén et al. (2003) får bekreftet sin hypotese. Likevel viser de ulike studiene til temaområdets kompleksitet og individuelle variasjoner. Dette gjør at studiene konkluderer med at det er et tema som må forskes mer på, samt at metodiske utfordringer er nødt til å løses for å få til mer pålitelig forskning på området.  </w:t>
      </w:r>
    </w:p>
    <w:p w14:paraId="5B4679C0" w14:textId="77777777" w:rsidR="00CB29BD" w:rsidRDefault="00CB29BD" w:rsidP="0005179B">
      <w:pPr>
        <w:pStyle w:val="NormalWeb"/>
        <w:spacing w:line="360" w:lineRule="auto"/>
      </w:pPr>
    </w:p>
    <w:p w14:paraId="1F32DA48" w14:textId="77777777" w:rsidR="00CB29BD" w:rsidRDefault="00CB29BD" w:rsidP="0005179B">
      <w:pPr>
        <w:pStyle w:val="NormalWeb"/>
        <w:spacing w:line="360" w:lineRule="auto"/>
      </w:pPr>
    </w:p>
    <w:p w14:paraId="490BBCF4" w14:textId="77777777" w:rsidR="00CB29BD" w:rsidRDefault="00CB29BD" w:rsidP="0005179B">
      <w:pPr>
        <w:pStyle w:val="NormalWeb"/>
        <w:spacing w:line="360" w:lineRule="auto"/>
      </w:pPr>
    </w:p>
    <w:p w14:paraId="6F16D544" w14:textId="77777777" w:rsidR="00D41A8C" w:rsidRDefault="00D41A8C" w:rsidP="0005179B">
      <w:pPr>
        <w:pStyle w:val="NormalWeb"/>
        <w:spacing w:line="360" w:lineRule="auto"/>
      </w:pPr>
    </w:p>
    <w:p w14:paraId="5E0ABB27" w14:textId="77777777" w:rsidR="00D41A8C" w:rsidRDefault="00D41A8C" w:rsidP="0005179B">
      <w:pPr>
        <w:pStyle w:val="NormalWeb"/>
        <w:spacing w:line="360" w:lineRule="auto"/>
      </w:pPr>
    </w:p>
    <w:p w14:paraId="034BC707" w14:textId="77777777" w:rsidR="00D41A8C" w:rsidRDefault="00D41A8C" w:rsidP="0005179B">
      <w:pPr>
        <w:pStyle w:val="NormalWeb"/>
        <w:spacing w:line="360" w:lineRule="auto"/>
      </w:pPr>
    </w:p>
    <w:p w14:paraId="77FCD2C2" w14:textId="77777777" w:rsidR="00D41A8C" w:rsidRDefault="00D41A8C" w:rsidP="0005179B">
      <w:pPr>
        <w:pStyle w:val="NormalWeb"/>
        <w:spacing w:line="360" w:lineRule="auto"/>
      </w:pPr>
    </w:p>
    <w:p w14:paraId="42F67153" w14:textId="77777777" w:rsidR="00D41A8C" w:rsidRDefault="00D41A8C" w:rsidP="0005179B">
      <w:pPr>
        <w:pStyle w:val="NormalWeb"/>
        <w:spacing w:line="360" w:lineRule="auto"/>
      </w:pPr>
    </w:p>
    <w:p w14:paraId="08C238D6" w14:textId="77777777" w:rsidR="00D41A8C" w:rsidRDefault="00D41A8C" w:rsidP="0005179B">
      <w:pPr>
        <w:pStyle w:val="NormalWeb"/>
        <w:spacing w:line="360" w:lineRule="auto"/>
      </w:pPr>
    </w:p>
    <w:p w14:paraId="1C919EAC" w14:textId="77777777" w:rsidR="00CB29BD" w:rsidRDefault="00CB29BD" w:rsidP="0005179B">
      <w:pPr>
        <w:pStyle w:val="NormalWeb"/>
        <w:spacing w:line="360" w:lineRule="auto"/>
      </w:pPr>
    </w:p>
    <w:p w14:paraId="7C1BA257" w14:textId="48F71612" w:rsidR="00CB29BD" w:rsidRPr="00CB29BD" w:rsidRDefault="00CB29BD" w:rsidP="0005179B">
      <w:pPr>
        <w:pStyle w:val="NormalWeb"/>
        <w:spacing w:line="360" w:lineRule="auto"/>
        <w:rPr>
          <w:b/>
          <w:bCs/>
          <w:sz w:val="28"/>
          <w:szCs w:val="28"/>
        </w:rPr>
      </w:pPr>
      <w:r>
        <w:rPr>
          <w:b/>
          <w:bCs/>
          <w:sz w:val="28"/>
          <w:szCs w:val="28"/>
        </w:rPr>
        <w:lastRenderedPageBreak/>
        <w:t>Referanseliste:</w:t>
      </w:r>
    </w:p>
    <w:p w14:paraId="01B24833" w14:textId="5425AC24" w:rsidR="0005179B" w:rsidRPr="0005179B" w:rsidRDefault="0005179B" w:rsidP="0005179B">
      <w:pPr>
        <w:pStyle w:val="NormalWeb"/>
        <w:spacing w:line="360" w:lineRule="auto"/>
        <w:rPr>
          <w:lang w:val="en-US"/>
        </w:rPr>
      </w:pPr>
      <w:r w:rsidRPr="0005179B">
        <w:rPr>
          <w:lang w:val="en-US"/>
        </w:rPr>
        <w:t xml:space="preserve">Bambaeichi, E., Reilly, T., Cable, N. T. &amp; </w:t>
      </w:r>
      <w:proofErr w:type="spellStart"/>
      <w:r w:rsidRPr="0005179B">
        <w:rPr>
          <w:lang w:val="en-US"/>
        </w:rPr>
        <w:t>Giacomoni</w:t>
      </w:r>
      <w:proofErr w:type="spellEnd"/>
      <w:r w:rsidRPr="0005179B">
        <w:rPr>
          <w:lang w:val="en-US"/>
        </w:rPr>
        <w:t xml:space="preserve">, M. (2004). The Isolated and combined Effects of Menstrual Cycle Phase and Time-of-Day on Muscle Strength of Eumenorrheic Females. </w:t>
      </w:r>
      <w:r w:rsidRPr="0005179B">
        <w:rPr>
          <w:i/>
          <w:iCs/>
          <w:lang w:val="en-US"/>
        </w:rPr>
        <w:t>Chronobiology International, (21)</w:t>
      </w:r>
      <w:r w:rsidRPr="0005179B">
        <w:rPr>
          <w:lang w:val="en-US"/>
        </w:rPr>
        <w:t xml:space="preserve">4, 645-660. </w:t>
      </w:r>
      <w:r w:rsidRPr="0005179B">
        <w:rPr>
          <w:color w:val="0260BF"/>
          <w:lang w:val="en-US"/>
        </w:rPr>
        <w:t>https://doi.org/10.1081/CBI- 12003920</w:t>
      </w:r>
      <w:r w:rsidR="000A640E">
        <w:rPr>
          <w:color w:val="0260BF"/>
          <w:lang w:val="en-US"/>
        </w:rPr>
        <w:t xml:space="preserve">6 </w:t>
      </w:r>
    </w:p>
    <w:p w14:paraId="280540B6" w14:textId="01D67788" w:rsidR="0005179B" w:rsidRPr="0005179B" w:rsidRDefault="0005179B" w:rsidP="0005179B">
      <w:pPr>
        <w:pStyle w:val="NormalWeb"/>
        <w:spacing w:line="360" w:lineRule="auto"/>
        <w:rPr>
          <w:lang w:val="en-US"/>
        </w:rPr>
      </w:pPr>
      <w:proofErr w:type="spellStart"/>
      <w:r w:rsidRPr="0005179B">
        <w:rPr>
          <w:lang w:val="en-US"/>
        </w:rPr>
        <w:t>Fridén</w:t>
      </w:r>
      <w:proofErr w:type="spellEnd"/>
      <w:r w:rsidRPr="0005179B">
        <w:rPr>
          <w:lang w:val="en-US"/>
        </w:rPr>
        <w:t xml:space="preserve">, C., Hirschberg, A. L. &amp; </w:t>
      </w:r>
      <w:proofErr w:type="spellStart"/>
      <w:r w:rsidRPr="0005179B">
        <w:rPr>
          <w:lang w:val="en-US"/>
        </w:rPr>
        <w:t>Saartok</w:t>
      </w:r>
      <w:proofErr w:type="spellEnd"/>
      <w:r w:rsidRPr="0005179B">
        <w:rPr>
          <w:lang w:val="en-US"/>
        </w:rPr>
        <w:t xml:space="preserve">, T. (2003). Muscle Strength and Endurance Do Not Significantly Vary Across 3 Phases of the Menstrual Cycle in Moderately Active Premenopausal Women. </w:t>
      </w:r>
      <w:r w:rsidRPr="0005179B">
        <w:rPr>
          <w:i/>
          <w:iCs/>
          <w:lang w:val="en-US"/>
        </w:rPr>
        <w:t>Clin J Sport Med, 13</w:t>
      </w:r>
      <w:r w:rsidRPr="0005179B">
        <w:rPr>
          <w:lang w:val="en-US"/>
        </w:rPr>
        <w:t xml:space="preserve">(4), 238-41. </w:t>
      </w:r>
      <w:hyperlink r:id="rId5" w:history="1">
        <w:r w:rsidR="000A640E" w:rsidRPr="00380804">
          <w:rPr>
            <w:rStyle w:val="Hyperkobling"/>
            <w:lang w:val="en-US"/>
          </w:rPr>
          <w:t>https://doi.org/10.1097/00042752- 200307000-00007</w:t>
        </w:r>
      </w:hyperlink>
      <w:r w:rsidR="000A640E">
        <w:rPr>
          <w:color w:val="0260BF"/>
          <w:lang w:val="en-US"/>
        </w:rPr>
        <w:t xml:space="preserve"> </w:t>
      </w:r>
      <w:r w:rsidRPr="0005179B">
        <w:rPr>
          <w:color w:val="0260BF"/>
          <w:lang w:val="en-US"/>
        </w:rPr>
        <w:t xml:space="preserve"> </w:t>
      </w:r>
    </w:p>
    <w:p w14:paraId="4F936AB3" w14:textId="0917173E" w:rsidR="0005179B" w:rsidRPr="0005179B" w:rsidRDefault="0005179B" w:rsidP="0005179B">
      <w:pPr>
        <w:pStyle w:val="NormalWeb"/>
        <w:spacing w:line="360" w:lineRule="auto"/>
        <w:rPr>
          <w:lang w:val="en-US"/>
        </w:rPr>
      </w:pPr>
      <w:r w:rsidRPr="0005179B">
        <w:rPr>
          <w:lang w:val="en-US"/>
        </w:rPr>
        <w:t xml:space="preserve">Janse de Jonge, X. A. K., Boot, C. R. L., Thom, J. M., </w:t>
      </w:r>
      <w:proofErr w:type="spellStart"/>
      <w:r w:rsidRPr="0005179B">
        <w:rPr>
          <w:lang w:val="en-US"/>
        </w:rPr>
        <w:t>Ruell</w:t>
      </w:r>
      <w:proofErr w:type="spellEnd"/>
      <w:r w:rsidRPr="0005179B">
        <w:rPr>
          <w:lang w:val="en-US"/>
        </w:rPr>
        <w:t xml:space="preserve">, P. A. &amp; Thompson, M. W. (2001). The influence of menstrual cycle phase on skeletal muscle contractile characteristics in humans. </w:t>
      </w:r>
      <w:r w:rsidRPr="0005179B">
        <w:rPr>
          <w:i/>
          <w:iCs/>
        </w:rPr>
        <w:t xml:space="preserve">J </w:t>
      </w:r>
      <w:proofErr w:type="spellStart"/>
      <w:r w:rsidRPr="0005179B">
        <w:rPr>
          <w:i/>
          <w:iCs/>
        </w:rPr>
        <w:t>Physiol</w:t>
      </w:r>
      <w:proofErr w:type="spellEnd"/>
      <w:r w:rsidRPr="0005179B">
        <w:rPr>
          <w:i/>
          <w:iCs/>
        </w:rPr>
        <w:t>, 530</w:t>
      </w:r>
      <w:r w:rsidRPr="0005179B">
        <w:t xml:space="preserve">(1), 161-166. </w:t>
      </w:r>
      <w:hyperlink r:id="rId6" w:history="1">
        <w:r w:rsidR="000A640E" w:rsidRPr="00380804">
          <w:rPr>
            <w:rStyle w:val="Hyperkobling"/>
          </w:rPr>
          <w:t>https://doi.org/</w:t>
        </w:r>
        <w:r w:rsidR="000A640E" w:rsidRPr="00380804">
          <w:rPr>
            <w:rStyle w:val="Hyperkobling"/>
            <w:shd w:val="clear" w:color="auto" w:fill="FFFFFF"/>
          </w:rPr>
          <w:t>10.1111/j.1469-7793.2001.0161m.x</w:t>
        </w:r>
      </w:hyperlink>
      <w:r w:rsidR="000A640E">
        <w:rPr>
          <w:color w:val="0260BF"/>
          <w:shd w:val="clear" w:color="auto" w:fill="FFFFFF"/>
        </w:rPr>
        <w:t xml:space="preserve"> </w:t>
      </w:r>
      <w:r w:rsidRPr="0005179B">
        <w:rPr>
          <w:color w:val="0260BF"/>
          <w:shd w:val="clear" w:color="auto" w:fill="FFFFFF"/>
        </w:rPr>
        <w:t xml:space="preserve"> </w:t>
      </w:r>
    </w:p>
    <w:p w14:paraId="5C9CEA33" w14:textId="0CF695C2" w:rsidR="0005179B" w:rsidRPr="0005179B" w:rsidRDefault="0005179B" w:rsidP="0005179B">
      <w:pPr>
        <w:pStyle w:val="NormalWeb"/>
        <w:spacing w:line="360" w:lineRule="auto"/>
        <w:rPr>
          <w:lang w:val="en-US"/>
        </w:rPr>
      </w:pPr>
      <w:r w:rsidRPr="0005179B">
        <w:rPr>
          <w:lang w:val="en-US"/>
        </w:rPr>
        <w:t xml:space="preserve">LeBrun, C. M., McKenzie, D. C., Prior, J. C. &amp; Taunton, J. E. (1995). Effects of menstrual cycle phase on athletic performance. </w:t>
      </w:r>
      <w:r w:rsidRPr="0005179B">
        <w:rPr>
          <w:i/>
          <w:iCs/>
          <w:lang w:val="en-US"/>
        </w:rPr>
        <w:t>Medicine &amp; Science in Sports &amp; Exercise, 23</w:t>
      </w:r>
      <w:r w:rsidRPr="0005179B">
        <w:rPr>
          <w:lang w:val="en-US"/>
        </w:rPr>
        <w:t xml:space="preserve">(3), 437- 444. </w:t>
      </w:r>
      <w:hyperlink r:id="rId7" w:history="1">
        <w:r w:rsidR="000A640E" w:rsidRPr="00380804">
          <w:rPr>
            <w:rStyle w:val="Hyperkobling"/>
            <w:lang w:val="en-US"/>
          </w:rPr>
          <w:t>https://journals.lww.com/acsm- msse/Abstract/1995/03000/Effects_of_menstrual_cycle_phase_on_athletic.22.aspx</w:t>
        </w:r>
      </w:hyperlink>
      <w:r w:rsidR="000A640E">
        <w:rPr>
          <w:color w:val="0260BF"/>
          <w:lang w:val="en-US"/>
        </w:rPr>
        <w:t xml:space="preserve"> </w:t>
      </w:r>
      <w:r w:rsidRPr="0005179B">
        <w:rPr>
          <w:color w:val="0260BF"/>
          <w:lang w:val="en-US"/>
        </w:rPr>
        <w:t xml:space="preserve"> </w:t>
      </w:r>
    </w:p>
    <w:p w14:paraId="3BC6D855" w14:textId="3006396B" w:rsidR="0005179B" w:rsidRPr="0005179B" w:rsidRDefault="0005179B" w:rsidP="0005179B">
      <w:pPr>
        <w:pStyle w:val="NormalWeb"/>
        <w:spacing w:line="360" w:lineRule="auto"/>
      </w:pPr>
      <w:r w:rsidRPr="0005179B">
        <w:rPr>
          <w:lang w:val="en-US"/>
        </w:rPr>
        <w:t xml:space="preserve">Romero-Moraleda, B., </w:t>
      </w:r>
      <w:proofErr w:type="spellStart"/>
      <w:r w:rsidRPr="0005179B">
        <w:rPr>
          <w:lang w:val="en-US"/>
        </w:rPr>
        <w:t>Coso</w:t>
      </w:r>
      <w:proofErr w:type="spellEnd"/>
      <w:r w:rsidRPr="0005179B">
        <w:rPr>
          <w:lang w:val="en-US"/>
        </w:rPr>
        <w:t xml:space="preserve">, J. D., </w:t>
      </w:r>
      <w:proofErr w:type="spellStart"/>
      <w:r w:rsidRPr="0005179B">
        <w:rPr>
          <w:lang w:val="en-US"/>
        </w:rPr>
        <w:t>Gutiérrez-Hellín</w:t>
      </w:r>
      <w:proofErr w:type="spellEnd"/>
      <w:r w:rsidRPr="0005179B">
        <w:rPr>
          <w:lang w:val="en-US"/>
        </w:rPr>
        <w:t xml:space="preserve">, J., Ruiz-Moreno, C., </w:t>
      </w:r>
      <w:proofErr w:type="spellStart"/>
      <w:r w:rsidRPr="0005179B">
        <w:rPr>
          <w:lang w:val="en-US"/>
        </w:rPr>
        <w:t>Grgic</w:t>
      </w:r>
      <w:proofErr w:type="spellEnd"/>
      <w:r w:rsidRPr="0005179B">
        <w:rPr>
          <w:lang w:val="en-US"/>
        </w:rPr>
        <w:t xml:space="preserve">, J. &amp; Lara, B. (2019). The Influence of the Menstrual Cycle on Muscle Strength and Power Performance. </w:t>
      </w:r>
      <w:r w:rsidRPr="0005179B">
        <w:rPr>
          <w:i/>
          <w:iCs/>
        </w:rPr>
        <w:t xml:space="preserve">J </w:t>
      </w:r>
      <w:proofErr w:type="spellStart"/>
      <w:r w:rsidRPr="0005179B">
        <w:rPr>
          <w:i/>
          <w:iCs/>
        </w:rPr>
        <w:t>Hum</w:t>
      </w:r>
      <w:proofErr w:type="spellEnd"/>
      <w:r w:rsidRPr="0005179B">
        <w:rPr>
          <w:i/>
          <w:iCs/>
        </w:rPr>
        <w:t xml:space="preserve"> </w:t>
      </w:r>
      <w:proofErr w:type="spellStart"/>
      <w:r w:rsidRPr="0005179B">
        <w:rPr>
          <w:i/>
          <w:iCs/>
        </w:rPr>
        <w:t>Kinet</w:t>
      </w:r>
      <w:proofErr w:type="spellEnd"/>
      <w:r w:rsidRPr="0005179B">
        <w:rPr>
          <w:i/>
          <w:iCs/>
        </w:rPr>
        <w:t>, 21</w:t>
      </w:r>
      <w:r w:rsidRPr="0005179B">
        <w:t xml:space="preserve">(61), 123-133. </w:t>
      </w:r>
      <w:hyperlink r:id="rId8" w:history="1">
        <w:r w:rsidR="000A640E" w:rsidRPr="00380804">
          <w:rPr>
            <w:rStyle w:val="Hyperkobling"/>
          </w:rPr>
          <w:t>https://doi.org/10.2478/hukin-2019-0061</w:t>
        </w:r>
      </w:hyperlink>
      <w:r w:rsidR="000A640E">
        <w:rPr>
          <w:color w:val="0260BF"/>
        </w:rPr>
        <w:t xml:space="preserve"> </w:t>
      </w:r>
      <w:r w:rsidRPr="0005179B">
        <w:rPr>
          <w:color w:val="0260BF"/>
        </w:rPr>
        <w:t xml:space="preserve"> </w:t>
      </w:r>
    </w:p>
    <w:p w14:paraId="51684E46" w14:textId="724C736B" w:rsidR="00067ACC" w:rsidRPr="00410365" w:rsidRDefault="00067ACC" w:rsidP="008620E7">
      <w:pPr>
        <w:tabs>
          <w:tab w:val="left" w:pos="2276"/>
        </w:tabs>
      </w:pPr>
    </w:p>
    <w:sectPr w:rsidR="00067ACC" w:rsidRPr="0041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33FB"/>
    <w:multiLevelType w:val="multilevel"/>
    <w:tmpl w:val="D30297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56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8F"/>
    <w:rsid w:val="00050F3E"/>
    <w:rsid w:val="0005179B"/>
    <w:rsid w:val="0006373A"/>
    <w:rsid w:val="000661ED"/>
    <w:rsid w:val="00067ACC"/>
    <w:rsid w:val="000A640E"/>
    <w:rsid w:val="00165002"/>
    <w:rsid w:val="001B1CFE"/>
    <w:rsid w:val="00217966"/>
    <w:rsid w:val="00247A58"/>
    <w:rsid w:val="002609EE"/>
    <w:rsid w:val="00275873"/>
    <w:rsid w:val="002B76A5"/>
    <w:rsid w:val="003D11CB"/>
    <w:rsid w:val="003F424B"/>
    <w:rsid w:val="00410365"/>
    <w:rsid w:val="00497F32"/>
    <w:rsid w:val="004E61C4"/>
    <w:rsid w:val="004E6A95"/>
    <w:rsid w:val="00590441"/>
    <w:rsid w:val="00594AFD"/>
    <w:rsid w:val="00633B66"/>
    <w:rsid w:val="00662ABD"/>
    <w:rsid w:val="007259BF"/>
    <w:rsid w:val="008620E7"/>
    <w:rsid w:val="008B3381"/>
    <w:rsid w:val="009462D5"/>
    <w:rsid w:val="009A6D09"/>
    <w:rsid w:val="00A109B2"/>
    <w:rsid w:val="00A6341C"/>
    <w:rsid w:val="00A70645"/>
    <w:rsid w:val="00AC2E34"/>
    <w:rsid w:val="00AC418F"/>
    <w:rsid w:val="00BA55B3"/>
    <w:rsid w:val="00CA0A0A"/>
    <w:rsid w:val="00CB29BD"/>
    <w:rsid w:val="00CC5775"/>
    <w:rsid w:val="00D41A8C"/>
    <w:rsid w:val="00DD2679"/>
    <w:rsid w:val="00DE19BF"/>
    <w:rsid w:val="00E06842"/>
    <w:rsid w:val="00E14C01"/>
    <w:rsid w:val="00E74E5A"/>
    <w:rsid w:val="00E84A87"/>
    <w:rsid w:val="00E84DBD"/>
    <w:rsid w:val="00E920A2"/>
    <w:rsid w:val="00EA038B"/>
    <w:rsid w:val="00F2304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4818643"/>
  <w15:chartTrackingRefBased/>
  <w15:docId w15:val="{AC99730F-53DF-F142-BA34-C78A9614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79B"/>
    <w:rPr>
      <w:rFonts w:ascii="Times New Roman" w:eastAsia="Times New Roman" w:hAnsi="Times New Roman" w:cs="Times New Roman"/>
      <w:kern w:val="0"/>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862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
    <w:name w:val="Grid Table Light"/>
    <w:basedOn w:val="Vanligtabell"/>
    <w:uiPriority w:val="40"/>
    <w:rsid w:val="008620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Vanligtabell3">
    <w:name w:val="Plain Table 3"/>
    <w:basedOn w:val="Vanligtabell"/>
    <w:uiPriority w:val="43"/>
    <w:rsid w:val="008620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4">
    <w:name w:val="Plain Table 4"/>
    <w:basedOn w:val="Vanligtabell"/>
    <w:uiPriority w:val="44"/>
    <w:rsid w:val="008620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5">
    <w:name w:val="Plain Table 5"/>
    <w:basedOn w:val="Vanligtabell"/>
    <w:uiPriority w:val="45"/>
    <w:rsid w:val="008620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8620E7"/>
    <w:pPr>
      <w:spacing w:before="100" w:beforeAutospacing="1" w:after="100" w:afterAutospacing="1"/>
    </w:pPr>
  </w:style>
  <w:style w:type="character" w:styleId="Hyperkobling">
    <w:name w:val="Hyperlink"/>
    <w:basedOn w:val="Standardskriftforavsnitt"/>
    <w:uiPriority w:val="99"/>
    <w:unhideWhenUsed/>
    <w:rsid w:val="000A640E"/>
    <w:rPr>
      <w:color w:val="0563C1" w:themeColor="hyperlink"/>
      <w:u w:val="single"/>
    </w:rPr>
  </w:style>
  <w:style w:type="character" w:styleId="Ulstomtale">
    <w:name w:val="Unresolved Mention"/>
    <w:basedOn w:val="Standardskriftforavsnitt"/>
    <w:uiPriority w:val="99"/>
    <w:semiHidden/>
    <w:unhideWhenUsed/>
    <w:rsid w:val="000A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6665">
      <w:bodyDiv w:val="1"/>
      <w:marLeft w:val="0"/>
      <w:marRight w:val="0"/>
      <w:marTop w:val="0"/>
      <w:marBottom w:val="0"/>
      <w:divBdr>
        <w:top w:val="none" w:sz="0" w:space="0" w:color="auto"/>
        <w:left w:val="none" w:sz="0" w:space="0" w:color="auto"/>
        <w:bottom w:val="none" w:sz="0" w:space="0" w:color="auto"/>
        <w:right w:val="none" w:sz="0" w:space="0" w:color="auto"/>
      </w:divBdr>
      <w:divsChild>
        <w:div w:id="2140803591">
          <w:marLeft w:val="0"/>
          <w:marRight w:val="0"/>
          <w:marTop w:val="0"/>
          <w:marBottom w:val="0"/>
          <w:divBdr>
            <w:top w:val="none" w:sz="0" w:space="0" w:color="auto"/>
            <w:left w:val="none" w:sz="0" w:space="0" w:color="auto"/>
            <w:bottom w:val="none" w:sz="0" w:space="0" w:color="auto"/>
            <w:right w:val="none" w:sz="0" w:space="0" w:color="auto"/>
          </w:divBdr>
          <w:divsChild>
            <w:div w:id="1191605743">
              <w:marLeft w:val="0"/>
              <w:marRight w:val="0"/>
              <w:marTop w:val="0"/>
              <w:marBottom w:val="0"/>
              <w:divBdr>
                <w:top w:val="none" w:sz="0" w:space="0" w:color="auto"/>
                <w:left w:val="none" w:sz="0" w:space="0" w:color="auto"/>
                <w:bottom w:val="none" w:sz="0" w:space="0" w:color="auto"/>
                <w:right w:val="none" w:sz="0" w:space="0" w:color="auto"/>
              </w:divBdr>
              <w:divsChild>
                <w:div w:id="555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8782">
      <w:bodyDiv w:val="1"/>
      <w:marLeft w:val="0"/>
      <w:marRight w:val="0"/>
      <w:marTop w:val="0"/>
      <w:marBottom w:val="0"/>
      <w:divBdr>
        <w:top w:val="none" w:sz="0" w:space="0" w:color="auto"/>
        <w:left w:val="none" w:sz="0" w:space="0" w:color="auto"/>
        <w:bottom w:val="none" w:sz="0" w:space="0" w:color="auto"/>
        <w:right w:val="none" w:sz="0" w:space="0" w:color="auto"/>
      </w:divBdr>
      <w:divsChild>
        <w:div w:id="629894430">
          <w:marLeft w:val="0"/>
          <w:marRight w:val="0"/>
          <w:marTop w:val="0"/>
          <w:marBottom w:val="0"/>
          <w:divBdr>
            <w:top w:val="none" w:sz="0" w:space="0" w:color="auto"/>
            <w:left w:val="none" w:sz="0" w:space="0" w:color="auto"/>
            <w:bottom w:val="none" w:sz="0" w:space="0" w:color="auto"/>
            <w:right w:val="none" w:sz="0" w:space="0" w:color="auto"/>
          </w:divBdr>
          <w:divsChild>
            <w:div w:id="1542279898">
              <w:marLeft w:val="0"/>
              <w:marRight w:val="0"/>
              <w:marTop w:val="0"/>
              <w:marBottom w:val="0"/>
              <w:divBdr>
                <w:top w:val="none" w:sz="0" w:space="0" w:color="auto"/>
                <w:left w:val="none" w:sz="0" w:space="0" w:color="auto"/>
                <w:bottom w:val="none" w:sz="0" w:space="0" w:color="auto"/>
                <w:right w:val="none" w:sz="0" w:space="0" w:color="auto"/>
              </w:divBdr>
              <w:divsChild>
                <w:div w:id="21157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5162">
      <w:bodyDiv w:val="1"/>
      <w:marLeft w:val="0"/>
      <w:marRight w:val="0"/>
      <w:marTop w:val="0"/>
      <w:marBottom w:val="0"/>
      <w:divBdr>
        <w:top w:val="none" w:sz="0" w:space="0" w:color="auto"/>
        <w:left w:val="none" w:sz="0" w:space="0" w:color="auto"/>
        <w:bottom w:val="none" w:sz="0" w:space="0" w:color="auto"/>
        <w:right w:val="none" w:sz="0" w:space="0" w:color="auto"/>
      </w:divBdr>
    </w:div>
    <w:div w:id="1659917768">
      <w:bodyDiv w:val="1"/>
      <w:marLeft w:val="0"/>
      <w:marRight w:val="0"/>
      <w:marTop w:val="0"/>
      <w:marBottom w:val="0"/>
      <w:divBdr>
        <w:top w:val="none" w:sz="0" w:space="0" w:color="auto"/>
        <w:left w:val="none" w:sz="0" w:space="0" w:color="auto"/>
        <w:bottom w:val="none" w:sz="0" w:space="0" w:color="auto"/>
        <w:right w:val="none" w:sz="0" w:space="0" w:color="auto"/>
      </w:divBdr>
      <w:divsChild>
        <w:div w:id="77100643">
          <w:marLeft w:val="0"/>
          <w:marRight w:val="0"/>
          <w:marTop w:val="0"/>
          <w:marBottom w:val="0"/>
          <w:divBdr>
            <w:top w:val="none" w:sz="0" w:space="0" w:color="auto"/>
            <w:left w:val="none" w:sz="0" w:space="0" w:color="auto"/>
            <w:bottom w:val="none" w:sz="0" w:space="0" w:color="auto"/>
            <w:right w:val="none" w:sz="0" w:space="0" w:color="auto"/>
          </w:divBdr>
          <w:divsChild>
            <w:div w:id="2108845027">
              <w:marLeft w:val="0"/>
              <w:marRight w:val="0"/>
              <w:marTop w:val="0"/>
              <w:marBottom w:val="0"/>
              <w:divBdr>
                <w:top w:val="none" w:sz="0" w:space="0" w:color="auto"/>
                <w:left w:val="none" w:sz="0" w:space="0" w:color="auto"/>
                <w:bottom w:val="none" w:sz="0" w:space="0" w:color="auto"/>
                <w:right w:val="none" w:sz="0" w:space="0" w:color="auto"/>
              </w:divBdr>
              <w:divsChild>
                <w:div w:id="1437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6950">
      <w:bodyDiv w:val="1"/>
      <w:marLeft w:val="0"/>
      <w:marRight w:val="0"/>
      <w:marTop w:val="0"/>
      <w:marBottom w:val="0"/>
      <w:divBdr>
        <w:top w:val="none" w:sz="0" w:space="0" w:color="auto"/>
        <w:left w:val="none" w:sz="0" w:space="0" w:color="auto"/>
        <w:bottom w:val="none" w:sz="0" w:space="0" w:color="auto"/>
        <w:right w:val="none" w:sz="0" w:space="0" w:color="auto"/>
      </w:divBdr>
    </w:div>
    <w:div w:id="2026864155">
      <w:bodyDiv w:val="1"/>
      <w:marLeft w:val="0"/>
      <w:marRight w:val="0"/>
      <w:marTop w:val="0"/>
      <w:marBottom w:val="0"/>
      <w:divBdr>
        <w:top w:val="none" w:sz="0" w:space="0" w:color="auto"/>
        <w:left w:val="none" w:sz="0" w:space="0" w:color="auto"/>
        <w:bottom w:val="none" w:sz="0" w:space="0" w:color="auto"/>
        <w:right w:val="none" w:sz="0" w:space="0" w:color="auto"/>
      </w:divBdr>
      <w:divsChild>
        <w:div w:id="1628974066">
          <w:marLeft w:val="0"/>
          <w:marRight w:val="0"/>
          <w:marTop w:val="0"/>
          <w:marBottom w:val="0"/>
          <w:divBdr>
            <w:top w:val="none" w:sz="0" w:space="0" w:color="auto"/>
            <w:left w:val="none" w:sz="0" w:space="0" w:color="auto"/>
            <w:bottom w:val="none" w:sz="0" w:space="0" w:color="auto"/>
            <w:right w:val="none" w:sz="0" w:space="0" w:color="auto"/>
          </w:divBdr>
          <w:divsChild>
            <w:div w:id="852033629">
              <w:marLeft w:val="0"/>
              <w:marRight w:val="0"/>
              <w:marTop w:val="0"/>
              <w:marBottom w:val="0"/>
              <w:divBdr>
                <w:top w:val="none" w:sz="0" w:space="0" w:color="auto"/>
                <w:left w:val="none" w:sz="0" w:space="0" w:color="auto"/>
                <w:bottom w:val="none" w:sz="0" w:space="0" w:color="auto"/>
                <w:right w:val="none" w:sz="0" w:space="0" w:color="auto"/>
              </w:divBdr>
              <w:divsChild>
                <w:div w:id="1518273751">
                  <w:marLeft w:val="0"/>
                  <w:marRight w:val="0"/>
                  <w:marTop w:val="0"/>
                  <w:marBottom w:val="0"/>
                  <w:divBdr>
                    <w:top w:val="none" w:sz="0" w:space="0" w:color="auto"/>
                    <w:left w:val="none" w:sz="0" w:space="0" w:color="auto"/>
                    <w:bottom w:val="none" w:sz="0" w:space="0" w:color="auto"/>
                    <w:right w:val="none" w:sz="0" w:space="0" w:color="auto"/>
                  </w:divBdr>
                </w:div>
              </w:divsChild>
            </w:div>
            <w:div w:id="45953503">
              <w:marLeft w:val="0"/>
              <w:marRight w:val="0"/>
              <w:marTop w:val="0"/>
              <w:marBottom w:val="0"/>
              <w:divBdr>
                <w:top w:val="none" w:sz="0" w:space="0" w:color="auto"/>
                <w:left w:val="none" w:sz="0" w:space="0" w:color="auto"/>
                <w:bottom w:val="none" w:sz="0" w:space="0" w:color="auto"/>
                <w:right w:val="none" w:sz="0" w:space="0" w:color="auto"/>
              </w:divBdr>
              <w:divsChild>
                <w:div w:id="17858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0563">
          <w:marLeft w:val="0"/>
          <w:marRight w:val="0"/>
          <w:marTop w:val="0"/>
          <w:marBottom w:val="0"/>
          <w:divBdr>
            <w:top w:val="none" w:sz="0" w:space="0" w:color="auto"/>
            <w:left w:val="none" w:sz="0" w:space="0" w:color="auto"/>
            <w:bottom w:val="none" w:sz="0" w:space="0" w:color="auto"/>
            <w:right w:val="none" w:sz="0" w:space="0" w:color="auto"/>
          </w:divBdr>
          <w:divsChild>
            <w:div w:id="1229994621">
              <w:marLeft w:val="0"/>
              <w:marRight w:val="0"/>
              <w:marTop w:val="0"/>
              <w:marBottom w:val="0"/>
              <w:divBdr>
                <w:top w:val="none" w:sz="0" w:space="0" w:color="auto"/>
                <w:left w:val="none" w:sz="0" w:space="0" w:color="auto"/>
                <w:bottom w:val="none" w:sz="0" w:space="0" w:color="auto"/>
                <w:right w:val="none" w:sz="0" w:space="0" w:color="auto"/>
              </w:divBdr>
              <w:divsChild>
                <w:div w:id="136531291">
                  <w:marLeft w:val="0"/>
                  <w:marRight w:val="0"/>
                  <w:marTop w:val="0"/>
                  <w:marBottom w:val="0"/>
                  <w:divBdr>
                    <w:top w:val="none" w:sz="0" w:space="0" w:color="auto"/>
                    <w:left w:val="none" w:sz="0" w:space="0" w:color="auto"/>
                    <w:bottom w:val="none" w:sz="0" w:space="0" w:color="auto"/>
                    <w:right w:val="none" w:sz="0" w:space="0" w:color="auto"/>
                  </w:divBdr>
                </w:div>
              </w:divsChild>
            </w:div>
            <w:div w:id="1092429295">
              <w:marLeft w:val="0"/>
              <w:marRight w:val="0"/>
              <w:marTop w:val="0"/>
              <w:marBottom w:val="0"/>
              <w:divBdr>
                <w:top w:val="none" w:sz="0" w:space="0" w:color="auto"/>
                <w:left w:val="none" w:sz="0" w:space="0" w:color="auto"/>
                <w:bottom w:val="none" w:sz="0" w:space="0" w:color="auto"/>
                <w:right w:val="none" w:sz="0" w:space="0" w:color="auto"/>
              </w:divBdr>
              <w:divsChild>
                <w:div w:id="1609699928">
                  <w:marLeft w:val="0"/>
                  <w:marRight w:val="0"/>
                  <w:marTop w:val="0"/>
                  <w:marBottom w:val="0"/>
                  <w:divBdr>
                    <w:top w:val="none" w:sz="0" w:space="0" w:color="auto"/>
                    <w:left w:val="none" w:sz="0" w:space="0" w:color="auto"/>
                    <w:bottom w:val="none" w:sz="0" w:space="0" w:color="auto"/>
                    <w:right w:val="none" w:sz="0" w:space="0" w:color="auto"/>
                  </w:divBdr>
                </w:div>
              </w:divsChild>
            </w:div>
            <w:div w:id="777989185">
              <w:marLeft w:val="0"/>
              <w:marRight w:val="0"/>
              <w:marTop w:val="0"/>
              <w:marBottom w:val="0"/>
              <w:divBdr>
                <w:top w:val="none" w:sz="0" w:space="0" w:color="auto"/>
                <w:left w:val="none" w:sz="0" w:space="0" w:color="auto"/>
                <w:bottom w:val="none" w:sz="0" w:space="0" w:color="auto"/>
                <w:right w:val="none" w:sz="0" w:space="0" w:color="auto"/>
              </w:divBdr>
              <w:divsChild>
                <w:div w:id="1203906667">
                  <w:marLeft w:val="0"/>
                  <w:marRight w:val="0"/>
                  <w:marTop w:val="0"/>
                  <w:marBottom w:val="0"/>
                  <w:divBdr>
                    <w:top w:val="none" w:sz="0" w:space="0" w:color="auto"/>
                    <w:left w:val="none" w:sz="0" w:space="0" w:color="auto"/>
                    <w:bottom w:val="none" w:sz="0" w:space="0" w:color="auto"/>
                    <w:right w:val="none" w:sz="0" w:space="0" w:color="auto"/>
                  </w:divBdr>
                </w:div>
              </w:divsChild>
            </w:div>
            <w:div w:id="642659395">
              <w:marLeft w:val="0"/>
              <w:marRight w:val="0"/>
              <w:marTop w:val="0"/>
              <w:marBottom w:val="0"/>
              <w:divBdr>
                <w:top w:val="none" w:sz="0" w:space="0" w:color="auto"/>
                <w:left w:val="none" w:sz="0" w:space="0" w:color="auto"/>
                <w:bottom w:val="none" w:sz="0" w:space="0" w:color="auto"/>
                <w:right w:val="none" w:sz="0" w:space="0" w:color="auto"/>
              </w:divBdr>
              <w:divsChild>
                <w:div w:id="1200314762">
                  <w:marLeft w:val="0"/>
                  <w:marRight w:val="0"/>
                  <w:marTop w:val="0"/>
                  <w:marBottom w:val="0"/>
                  <w:divBdr>
                    <w:top w:val="none" w:sz="0" w:space="0" w:color="auto"/>
                    <w:left w:val="none" w:sz="0" w:space="0" w:color="auto"/>
                    <w:bottom w:val="none" w:sz="0" w:space="0" w:color="auto"/>
                    <w:right w:val="none" w:sz="0" w:space="0" w:color="auto"/>
                  </w:divBdr>
                </w:div>
              </w:divsChild>
            </w:div>
            <w:div w:id="172110670">
              <w:marLeft w:val="0"/>
              <w:marRight w:val="0"/>
              <w:marTop w:val="0"/>
              <w:marBottom w:val="0"/>
              <w:divBdr>
                <w:top w:val="none" w:sz="0" w:space="0" w:color="auto"/>
                <w:left w:val="none" w:sz="0" w:space="0" w:color="auto"/>
                <w:bottom w:val="none" w:sz="0" w:space="0" w:color="auto"/>
                <w:right w:val="none" w:sz="0" w:space="0" w:color="auto"/>
              </w:divBdr>
              <w:divsChild>
                <w:div w:id="276257538">
                  <w:marLeft w:val="0"/>
                  <w:marRight w:val="0"/>
                  <w:marTop w:val="0"/>
                  <w:marBottom w:val="0"/>
                  <w:divBdr>
                    <w:top w:val="none" w:sz="0" w:space="0" w:color="auto"/>
                    <w:left w:val="none" w:sz="0" w:space="0" w:color="auto"/>
                    <w:bottom w:val="none" w:sz="0" w:space="0" w:color="auto"/>
                    <w:right w:val="none" w:sz="0" w:space="0" w:color="auto"/>
                  </w:divBdr>
                </w:div>
              </w:divsChild>
            </w:div>
            <w:div w:id="1861971634">
              <w:marLeft w:val="0"/>
              <w:marRight w:val="0"/>
              <w:marTop w:val="0"/>
              <w:marBottom w:val="0"/>
              <w:divBdr>
                <w:top w:val="none" w:sz="0" w:space="0" w:color="auto"/>
                <w:left w:val="none" w:sz="0" w:space="0" w:color="auto"/>
                <w:bottom w:val="none" w:sz="0" w:space="0" w:color="auto"/>
                <w:right w:val="none" w:sz="0" w:space="0" w:color="auto"/>
              </w:divBdr>
              <w:divsChild>
                <w:div w:id="1302996604">
                  <w:marLeft w:val="0"/>
                  <w:marRight w:val="0"/>
                  <w:marTop w:val="0"/>
                  <w:marBottom w:val="0"/>
                  <w:divBdr>
                    <w:top w:val="none" w:sz="0" w:space="0" w:color="auto"/>
                    <w:left w:val="none" w:sz="0" w:space="0" w:color="auto"/>
                    <w:bottom w:val="none" w:sz="0" w:space="0" w:color="auto"/>
                    <w:right w:val="none" w:sz="0" w:space="0" w:color="auto"/>
                  </w:divBdr>
                </w:div>
              </w:divsChild>
            </w:div>
            <w:div w:id="905601915">
              <w:marLeft w:val="0"/>
              <w:marRight w:val="0"/>
              <w:marTop w:val="0"/>
              <w:marBottom w:val="0"/>
              <w:divBdr>
                <w:top w:val="none" w:sz="0" w:space="0" w:color="auto"/>
                <w:left w:val="none" w:sz="0" w:space="0" w:color="auto"/>
                <w:bottom w:val="none" w:sz="0" w:space="0" w:color="auto"/>
                <w:right w:val="none" w:sz="0" w:space="0" w:color="auto"/>
              </w:divBdr>
              <w:divsChild>
                <w:div w:id="1318261876">
                  <w:marLeft w:val="0"/>
                  <w:marRight w:val="0"/>
                  <w:marTop w:val="0"/>
                  <w:marBottom w:val="0"/>
                  <w:divBdr>
                    <w:top w:val="none" w:sz="0" w:space="0" w:color="auto"/>
                    <w:left w:val="none" w:sz="0" w:space="0" w:color="auto"/>
                    <w:bottom w:val="none" w:sz="0" w:space="0" w:color="auto"/>
                    <w:right w:val="none" w:sz="0" w:space="0" w:color="auto"/>
                  </w:divBdr>
                </w:div>
              </w:divsChild>
            </w:div>
            <w:div w:id="623655345">
              <w:marLeft w:val="0"/>
              <w:marRight w:val="0"/>
              <w:marTop w:val="0"/>
              <w:marBottom w:val="0"/>
              <w:divBdr>
                <w:top w:val="none" w:sz="0" w:space="0" w:color="auto"/>
                <w:left w:val="none" w:sz="0" w:space="0" w:color="auto"/>
                <w:bottom w:val="none" w:sz="0" w:space="0" w:color="auto"/>
                <w:right w:val="none" w:sz="0" w:space="0" w:color="auto"/>
              </w:divBdr>
              <w:divsChild>
                <w:div w:id="59405685">
                  <w:marLeft w:val="0"/>
                  <w:marRight w:val="0"/>
                  <w:marTop w:val="0"/>
                  <w:marBottom w:val="0"/>
                  <w:divBdr>
                    <w:top w:val="none" w:sz="0" w:space="0" w:color="auto"/>
                    <w:left w:val="none" w:sz="0" w:space="0" w:color="auto"/>
                    <w:bottom w:val="none" w:sz="0" w:space="0" w:color="auto"/>
                    <w:right w:val="none" w:sz="0" w:space="0" w:color="auto"/>
                  </w:divBdr>
                </w:div>
              </w:divsChild>
            </w:div>
            <w:div w:id="1850413699">
              <w:marLeft w:val="0"/>
              <w:marRight w:val="0"/>
              <w:marTop w:val="0"/>
              <w:marBottom w:val="0"/>
              <w:divBdr>
                <w:top w:val="none" w:sz="0" w:space="0" w:color="auto"/>
                <w:left w:val="none" w:sz="0" w:space="0" w:color="auto"/>
                <w:bottom w:val="none" w:sz="0" w:space="0" w:color="auto"/>
                <w:right w:val="none" w:sz="0" w:space="0" w:color="auto"/>
              </w:divBdr>
              <w:divsChild>
                <w:div w:id="1645743538">
                  <w:marLeft w:val="0"/>
                  <w:marRight w:val="0"/>
                  <w:marTop w:val="0"/>
                  <w:marBottom w:val="0"/>
                  <w:divBdr>
                    <w:top w:val="none" w:sz="0" w:space="0" w:color="auto"/>
                    <w:left w:val="none" w:sz="0" w:space="0" w:color="auto"/>
                    <w:bottom w:val="none" w:sz="0" w:space="0" w:color="auto"/>
                    <w:right w:val="none" w:sz="0" w:space="0" w:color="auto"/>
                  </w:divBdr>
                </w:div>
              </w:divsChild>
            </w:div>
            <w:div w:id="1854294715">
              <w:marLeft w:val="0"/>
              <w:marRight w:val="0"/>
              <w:marTop w:val="0"/>
              <w:marBottom w:val="0"/>
              <w:divBdr>
                <w:top w:val="none" w:sz="0" w:space="0" w:color="auto"/>
                <w:left w:val="none" w:sz="0" w:space="0" w:color="auto"/>
                <w:bottom w:val="none" w:sz="0" w:space="0" w:color="auto"/>
                <w:right w:val="none" w:sz="0" w:space="0" w:color="auto"/>
              </w:divBdr>
              <w:divsChild>
                <w:div w:id="678507833">
                  <w:marLeft w:val="0"/>
                  <w:marRight w:val="0"/>
                  <w:marTop w:val="0"/>
                  <w:marBottom w:val="0"/>
                  <w:divBdr>
                    <w:top w:val="none" w:sz="0" w:space="0" w:color="auto"/>
                    <w:left w:val="none" w:sz="0" w:space="0" w:color="auto"/>
                    <w:bottom w:val="none" w:sz="0" w:space="0" w:color="auto"/>
                    <w:right w:val="none" w:sz="0" w:space="0" w:color="auto"/>
                  </w:divBdr>
                </w:div>
              </w:divsChild>
            </w:div>
            <w:div w:id="1121850295">
              <w:marLeft w:val="0"/>
              <w:marRight w:val="0"/>
              <w:marTop w:val="0"/>
              <w:marBottom w:val="0"/>
              <w:divBdr>
                <w:top w:val="none" w:sz="0" w:space="0" w:color="auto"/>
                <w:left w:val="none" w:sz="0" w:space="0" w:color="auto"/>
                <w:bottom w:val="none" w:sz="0" w:space="0" w:color="auto"/>
                <w:right w:val="none" w:sz="0" w:space="0" w:color="auto"/>
              </w:divBdr>
              <w:divsChild>
                <w:div w:id="2145662354">
                  <w:marLeft w:val="0"/>
                  <w:marRight w:val="0"/>
                  <w:marTop w:val="0"/>
                  <w:marBottom w:val="0"/>
                  <w:divBdr>
                    <w:top w:val="none" w:sz="0" w:space="0" w:color="auto"/>
                    <w:left w:val="none" w:sz="0" w:space="0" w:color="auto"/>
                    <w:bottom w:val="none" w:sz="0" w:space="0" w:color="auto"/>
                    <w:right w:val="none" w:sz="0" w:space="0" w:color="auto"/>
                  </w:divBdr>
                </w:div>
              </w:divsChild>
            </w:div>
            <w:div w:id="1613591044">
              <w:marLeft w:val="0"/>
              <w:marRight w:val="0"/>
              <w:marTop w:val="0"/>
              <w:marBottom w:val="0"/>
              <w:divBdr>
                <w:top w:val="none" w:sz="0" w:space="0" w:color="auto"/>
                <w:left w:val="none" w:sz="0" w:space="0" w:color="auto"/>
                <w:bottom w:val="none" w:sz="0" w:space="0" w:color="auto"/>
                <w:right w:val="none" w:sz="0" w:space="0" w:color="auto"/>
              </w:divBdr>
              <w:divsChild>
                <w:div w:id="16970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3818">
          <w:marLeft w:val="0"/>
          <w:marRight w:val="0"/>
          <w:marTop w:val="0"/>
          <w:marBottom w:val="0"/>
          <w:divBdr>
            <w:top w:val="none" w:sz="0" w:space="0" w:color="auto"/>
            <w:left w:val="none" w:sz="0" w:space="0" w:color="auto"/>
            <w:bottom w:val="none" w:sz="0" w:space="0" w:color="auto"/>
            <w:right w:val="none" w:sz="0" w:space="0" w:color="auto"/>
          </w:divBdr>
          <w:divsChild>
            <w:div w:id="396900633">
              <w:marLeft w:val="0"/>
              <w:marRight w:val="0"/>
              <w:marTop w:val="0"/>
              <w:marBottom w:val="0"/>
              <w:divBdr>
                <w:top w:val="none" w:sz="0" w:space="0" w:color="auto"/>
                <w:left w:val="none" w:sz="0" w:space="0" w:color="auto"/>
                <w:bottom w:val="none" w:sz="0" w:space="0" w:color="auto"/>
                <w:right w:val="none" w:sz="0" w:space="0" w:color="auto"/>
              </w:divBdr>
              <w:divsChild>
                <w:div w:id="1891458926">
                  <w:marLeft w:val="0"/>
                  <w:marRight w:val="0"/>
                  <w:marTop w:val="0"/>
                  <w:marBottom w:val="0"/>
                  <w:divBdr>
                    <w:top w:val="none" w:sz="0" w:space="0" w:color="auto"/>
                    <w:left w:val="none" w:sz="0" w:space="0" w:color="auto"/>
                    <w:bottom w:val="none" w:sz="0" w:space="0" w:color="auto"/>
                    <w:right w:val="none" w:sz="0" w:space="0" w:color="auto"/>
                  </w:divBdr>
                </w:div>
              </w:divsChild>
            </w:div>
            <w:div w:id="1457681294">
              <w:marLeft w:val="0"/>
              <w:marRight w:val="0"/>
              <w:marTop w:val="0"/>
              <w:marBottom w:val="0"/>
              <w:divBdr>
                <w:top w:val="none" w:sz="0" w:space="0" w:color="auto"/>
                <w:left w:val="none" w:sz="0" w:space="0" w:color="auto"/>
                <w:bottom w:val="none" w:sz="0" w:space="0" w:color="auto"/>
                <w:right w:val="none" w:sz="0" w:space="0" w:color="auto"/>
              </w:divBdr>
              <w:divsChild>
                <w:div w:id="187985103">
                  <w:marLeft w:val="0"/>
                  <w:marRight w:val="0"/>
                  <w:marTop w:val="0"/>
                  <w:marBottom w:val="0"/>
                  <w:divBdr>
                    <w:top w:val="none" w:sz="0" w:space="0" w:color="auto"/>
                    <w:left w:val="none" w:sz="0" w:space="0" w:color="auto"/>
                    <w:bottom w:val="none" w:sz="0" w:space="0" w:color="auto"/>
                    <w:right w:val="none" w:sz="0" w:space="0" w:color="auto"/>
                  </w:divBdr>
                </w:div>
              </w:divsChild>
            </w:div>
            <w:div w:id="2114784770">
              <w:marLeft w:val="0"/>
              <w:marRight w:val="0"/>
              <w:marTop w:val="0"/>
              <w:marBottom w:val="0"/>
              <w:divBdr>
                <w:top w:val="none" w:sz="0" w:space="0" w:color="auto"/>
                <w:left w:val="none" w:sz="0" w:space="0" w:color="auto"/>
                <w:bottom w:val="none" w:sz="0" w:space="0" w:color="auto"/>
                <w:right w:val="none" w:sz="0" w:space="0" w:color="auto"/>
              </w:divBdr>
              <w:divsChild>
                <w:div w:id="964391403">
                  <w:marLeft w:val="0"/>
                  <w:marRight w:val="0"/>
                  <w:marTop w:val="0"/>
                  <w:marBottom w:val="0"/>
                  <w:divBdr>
                    <w:top w:val="none" w:sz="0" w:space="0" w:color="auto"/>
                    <w:left w:val="none" w:sz="0" w:space="0" w:color="auto"/>
                    <w:bottom w:val="none" w:sz="0" w:space="0" w:color="auto"/>
                    <w:right w:val="none" w:sz="0" w:space="0" w:color="auto"/>
                  </w:divBdr>
                </w:div>
              </w:divsChild>
            </w:div>
            <w:div w:id="647634806">
              <w:marLeft w:val="0"/>
              <w:marRight w:val="0"/>
              <w:marTop w:val="0"/>
              <w:marBottom w:val="0"/>
              <w:divBdr>
                <w:top w:val="none" w:sz="0" w:space="0" w:color="auto"/>
                <w:left w:val="none" w:sz="0" w:space="0" w:color="auto"/>
                <w:bottom w:val="none" w:sz="0" w:space="0" w:color="auto"/>
                <w:right w:val="none" w:sz="0" w:space="0" w:color="auto"/>
              </w:divBdr>
              <w:divsChild>
                <w:div w:id="20059575">
                  <w:marLeft w:val="0"/>
                  <w:marRight w:val="0"/>
                  <w:marTop w:val="0"/>
                  <w:marBottom w:val="0"/>
                  <w:divBdr>
                    <w:top w:val="none" w:sz="0" w:space="0" w:color="auto"/>
                    <w:left w:val="none" w:sz="0" w:space="0" w:color="auto"/>
                    <w:bottom w:val="none" w:sz="0" w:space="0" w:color="auto"/>
                    <w:right w:val="none" w:sz="0" w:space="0" w:color="auto"/>
                  </w:divBdr>
                </w:div>
              </w:divsChild>
            </w:div>
            <w:div w:id="1995722506">
              <w:marLeft w:val="0"/>
              <w:marRight w:val="0"/>
              <w:marTop w:val="0"/>
              <w:marBottom w:val="0"/>
              <w:divBdr>
                <w:top w:val="none" w:sz="0" w:space="0" w:color="auto"/>
                <w:left w:val="none" w:sz="0" w:space="0" w:color="auto"/>
                <w:bottom w:val="none" w:sz="0" w:space="0" w:color="auto"/>
                <w:right w:val="none" w:sz="0" w:space="0" w:color="auto"/>
              </w:divBdr>
              <w:divsChild>
                <w:div w:id="2041665508">
                  <w:marLeft w:val="0"/>
                  <w:marRight w:val="0"/>
                  <w:marTop w:val="0"/>
                  <w:marBottom w:val="0"/>
                  <w:divBdr>
                    <w:top w:val="none" w:sz="0" w:space="0" w:color="auto"/>
                    <w:left w:val="none" w:sz="0" w:space="0" w:color="auto"/>
                    <w:bottom w:val="none" w:sz="0" w:space="0" w:color="auto"/>
                    <w:right w:val="none" w:sz="0" w:space="0" w:color="auto"/>
                  </w:divBdr>
                </w:div>
              </w:divsChild>
            </w:div>
            <w:div w:id="1616256523">
              <w:marLeft w:val="0"/>
              <w:marRight w:val="0"/>
              <w:marTop w:val="0"/>
              <w:marBottom w:val="0"/>
              <w:divBdr>
                <w:top w:val="none" w:sz="0" w:space="0" w:color="auto"/>
                <w:left w:val="none" w:sz="0" w:space="0" w:color="auto"/>
                <w:bottom w:val="none" w:sz="0" w:space="0" w:color="auto"/>
                <w:right w:val="none" w:sz="0" w:space="0" w:color="auto"/>
              </w:divBdr>
              <w:divsChild>
                <w:div w:id="1395474312">
                  <w:marLeft w:val="0"/>
                  <w:marRight w:val="0"/>
                  <w:marTop w:val="0"/>
                  <w:marBottom w:val="0"/>
                  <w:divBdr>
                    <w:top w:val="none" w:sz="0" w:space="0" w:color="auto"/>
                    <w:left w:val="none" w:sz="0" w:space="0" w:color="auto"/>
                    <w:bottom w:val="none" w:sz="0" w:space="0" w:color="auto"/>
                    <w:right w:val="none" w:sz="0" w:space="0" w:color="auto"/>
                  </w:divBdr>
                </w:div>
              </w:divsChild>
            </w:div>
            <w:div w:id="1972973762">
              <w:marLeft w:val="0"/>
              <w:marRight w:val="0"/>
              <w:marTop w:val="0"/>
              <w:marBottom w:val="0"/>
              <w:divBdr>
                <w:top w:val="none" w:sz="0" w:space="0" w:color="auto"/>
                <w:left w:val="none" w:sz="0" w:space="0" w:color="auto"/>
                <w:bottom w:val="none" w:sz="0" w:space="0" w:color="auto"/>
                <w:right w:val="none" w:sz="0" w:space="0" w:color="auto"/>
              </w:divBdr>
              <w:divsChild>
                <w:div w:id="7488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167">
          <w:marLeft w:val="0"/>
          <w:marRight w:val="0"/>
          <w:marTop w:val="0"/>
          <w:marBottom w:val="0"/>
          <w:divBdr>
            <w:top w:val="none" w:sz="0" w:space="0" w:color="auto"/>
            <w:left w:val="none" w:sz="0" w:space="0" w:color="auto"/>
            <w:bottom w:val="none" w:sz="0" w:space="0" w:color="auto"/>
            <w:right w:val="none" w:sz="0" w:space="0" w:color="auto"/>
          </w:divBdr>
          <w:divsChild>
            <w:div w:id="611207509">
              <w:marLeft w:val="0"/>
              <w:marRight w:val="0"/>
              <w:marTop w:val="0"/>
              <w:marBottom w:val="0"/>
              <w:divBdr>
                <w:top w:val="none" w:sz="0" w:space="0" w:color="auto"/>
                <w:left w:val="none" w:sz="0" w:space="0" w:color="auto"/>
                <w:bottom w:val="none" w:sz="0" w:space="0" w:color="auto"/>
                <w:right w:val="none" w:sz="0" w:space="0" w:color="auto"/>
              </w:divBdr>
              <w:divsChild>
                <w:div w:id="937566555">
                  <w:marLeft w:val="0"/>
                  <w:marRight w:val="0"/>
                  <w:marTop w:val="0"/>
                  <w:marBottom w:val="0"/>
                  <w:divBdr>
                    <w:top w:val="none" w:sz="0" w:space="0" w:color="auto"/>
                    <w:left w:val="none" w:sz="0" w:space="0" w:color="auto"/>
                    <w:bottom w:val="none" w:sz="0" w:space="0" w:color="auto"/>
                    <w:right w:val="none" w:sz="0" w:space="0" w:color="auto"/>
                  </w:divBdr>
                </w:div>
              </w:divsChild>
            </w:div>
            <w:div w:id="605819416">
              <w:marLeft w:val="0"/>
              <w:marRight w:val="0"/>
              <w:marTop w:val="0"/>
              <w:marBottom w:val="0"/>
              <w:divBdr>
                <w:top w:val="none" w:sz="0" w:space="0" w:color="auto"/>
                <w:left w:val="none" w:sz="0" w:space="0" w:color="auto"/>
                <w:bottom w:val="none" w:sz="0" w:space="0" w:color="auto"/>
                <w:right w:val="none" w:sz="0" w:space="0" w:color="auto"/>
              </w:divBdr>
              <w:divsChild>
                <w:div w:id="1480263721">
                  <w:marLeft w:val="0"/>
                  <w:marRight w:val="0"/>
                  <w:marTop w:val="0"/>
                  <w:marBottom w:val="0"/>
                  <w:divBdr>
                    <w:top w:val="none" w:sz="0" w:space="0" w:color="auto"/>
                    <w:left w:val="none" w:sz="0" w:space="0" w:color="auto"/>
                    <w:bottom w:val="none" w:sz="0" w:space="0" w:color="auto"/>
                    <w:right w:val="none" w:sz="0" w:space="0" w:color="auto"/>
                  </w:divBdr>
                </w:div>
              </w:divsChild>
            </w:div>
            <w:div w:id="1275097554">
              <w:marLeft w:val="0"/>
              <w:marRight w:val="0"/>
              <w:marTop w:val="0"/>
              <w:marBottom w:val="0"/>
              <w:divBdr>
                <w:top w:val="none" w:sz="0" w:space="0" w:color="auto"/>
                <w:left w:val="none" w:sz="0" w:space="0" w:color="auto"/>
                <w:bottom w:val="none" w:sz="0" w:space="0" w:color="auto"/>
                <w:right w:val="none" w:sz="0" w:space="0" w:color="auto"/>
              </w:divBdr>
              <w:divsChild>
                <w:div w:id="612590024">
                  <w:marLeft w:val="0"/>
                  <w:marRight w:val="0"/>
                  <w:marTop w:val="0"/>
                  <w:marBottom w:val="0"/>
                  <w:divBdr>
                    <w:top w:val="none" w:sz="0" w:space="0" w:color="auto"/>
                    <w:left w:val="none" w:sz="0" w:space="0" w:color="auto"/>
                    <w:bottom w:val="none" w:sz="0" w:space="0" w:color="auto"/>
                    <w:right w:val="none" w:sz="0" w:space="0" w:color="auto"/>
                  </w:divBdr>
                </w:div>
              </w:divsChild>
            </w:div>
            <w:div w:id="1707832520">
              <w:marLeft w:val="0"/>
              <w:marRight w:val="0"/>
              <w:marTop w:val="0"/>
              <w:marBottom w:val="0"/>
              <w:divBdr>
                <w:top w:val="none" w:sz="0" w:space="0" w:color="auto"/>
                <w:left w:val="none" w:sz="0" w:space="0" w:color="auto"/>
                <w:bottom w:val="none" w:sz="0" w:space="0" w:color="auto"/>
                <w:right w:val="none" w:sz="0" w:space="0" w:color="auto"/>
              </w:divBdr>
              <w:divsChild>
                <w:div w:id="7311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78/hukin-2019-0061" TargetMode="External"/><Relationship Id="rId3" Type="http://schemas.openxmlformats.org/officeDocument/2006/relationships/settings" Target="settings.xml"/><Relationship Id="rId7" Type="http://schemas.openxmlformats.org/officeDocument/2006/relationships/hyperlink" Target="https://journals.lww.com/acsm-%20msse/Abstract/1995/03000/Effects_of_menstrual_cycle_phase_on_athletic.22.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1469-7793.2001.0161m.x" TargetMode="External"/><Relationship Id="rId5" Type="http://schemas.openxmlformats.org/officeDocument/2006/relationships/hyperlink" Target="https://doi.org/10.1097/00042752-%20200307000-000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1875</Words>
  <Characters>9939</Characters>
  <Application>Microsoft Office Word</Application>
  <DocSecurity>0</DocSecurity>
  <Lines>82</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Hedda Ljøner Waller</dc:creator>
  <cp:keywords/>
  <dc:description/>
  <cp:lastModifiedBy>Hedda Ljøner Waller</cp:lastModifiedBy>
  <cp:revision>11</cp:revision>
  <dcterms:created xsi:type="dcterms:W3CDTF">2023-10-31T08:15:00Z</dcterms:created>
  <dcterms:modified xsi:type="dcterms:W3CDTF">2023-11-05T08:16:00Z</dcterms:modified>
</cp:coreProperties>
</file>