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541588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643AA7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0B375D" w:rsidTr="00643AA7">
        <w:tc>
          <w:tcPr>
            <w:tcW w:w="6946" w:type="dxa"/>
          </w:tcPr>
          <w:p w:rsidR="000B375D" w:rsidRDefault="000B375D" w:rsidP="000B375D">
            <w:pPr>
              <w:jc w:val="right"/>
            </w:pPr>
            <w:bookmarkStart w:id="0" w:name="_GoBack" w:colFirst="1" w:colLast="2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Pr="000B375D" w:rsidRDefault="009F3596" w:rsidP="000B375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#TotalPriceWithoutDiscount</w:t>
            </w:r>
          </w:p>
        </w:tc>
      </w:tr>
      <w:bookmarkEnd w:id="0"/>
      <w:tr w:rsidR="000B375D" w:rsidTr="000B375D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987CD0" w:rsidP="000B375D">
            <w:pPr>
              <w:jc w:val="right"/>
            </w:pPr>
            <w:r>
              <w:t>#DiscountValue</w:t>
            </w:r>
          </w:p>
        </w:tc>
      </w:tr>
      <w:tr w:rsidR="000B375D" w:rsidTr="00835AFD">
        <w:tc>
          <w:tcPr>
            <w:tcW w:w="6946" w:type="dxa"/>
          </w:tcPr>
          <w:p w:rsidR="000B375D" w:rsidRPr="00A30C51" w:rsidRDefault="000B375D" w:rsidP="000B375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#AdditionalCostPrice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#PriceWithoutTax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#TaxValue</w:t>
            </w:r>
          </w:p>
        </w:tc>
      </w:tr>
      <w:tr w:rsidR="000B375D" w:rsidTr="000409A1">
        <w:tc>
          <w:tcPr>
            <w:tcW w:w="6946" w:type="dxa"/>
          </w:tcPr>
          <w:p w:rsidR="000B375D" w:rsidRDefault="000B375D" w:rsidP="000B375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0B375D" w:rsidRDefault="000B375D" w:rsidP="000B375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7C619C" w:rsidP="007C619C">
            <w:r>
              <w:t xml:space="preserve">Zahlung: innerhalb #PayCashInterval </w:t>
            </w:r>
            <w:r w:rsidR="0030272E">
              <w:t>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0C6D2E">
            <w:r>
              <w:t xml:space="preserve">Zahlung: </w:t>
            </w:r>
            <w:r w:rsidR="000C6D2E">
              <w:t xml:space="preserve">#PayParts </w:t>
            </w:r>
            <w:r>
              <w:t>Bei Überweisung bitte Beleg-Nummer und Kunden-Nummer angeben. Die o.a. Container bleiben bis zur vollständigen Bezahlung Eigentum der WERNER OTTL GmbH &amp; Co. KG, Container-Service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DD" w:rsidRDefault="008401DD" w:rsidP="009A5AB0">
      <w:r>
        <w:separator/>
      </w:r>
    </w:p>
  </w:endnote>
  <w:endnote w:type="continuationSeparator" w:id="0">
    <w:p w:rsidR="008401DD" w:rsidRDefault="008401DD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DD" w:rsidRDefault="008401DD" w:rsidP="009A5AB0">
      <w:r>
        <w:separator/>
      </w:r>
    </w:p>
  </w:footnote>
  <w:footnote w:type="continuationSeparator" w:id="0">
    <w:p w:rsidR="008401DD" w:rsidRDefault="008401DD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43AA7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905C5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145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59</cp:revision>
  <cp:lastPrinted>2015-06-17T17:24:00Z</cp:lastPrinted>
  <dcterms:created xsi:type="dcterms:W3CDTF">2015-07-06T14:26:00Z</dcterms:created>
  <dcterms:modified xsi:type="dcterms:W3CDTF">2015-07-28T13:01:00Z</dcterms:modified>
</cp:coreProperties>
</file>