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Gaussian Graphical Models Reveal Sex-Age-MetS Specific Dietary Hub Patterns Enabling Personalized Nutrition Interventions: A Network Analysis of 23,040 Korean Adults</w:t>
      </w:r>
    </w:p>
    <w:p/>
    <w:p>
      <w:pPr>
        <w:pStyle w:val="Heading1"/>
      </w:pPr>
      <w:r>
        <w:t>Abstract</w:t>
      </w:r>
    </w:p>
    <w:p>
      <w:r>
        <w:t>**Background**: Traditional dietary pattern analysis often overlooks the complex conditional dependencies among food groups and fails to identify actionable intervention targets. Metabolic syndrome (MetS), affecting one-quarter of the global adult population, requires personalized dietary strategies that account for demographic and metabolic heterogeneity.</w:t>
      </w:r>
    </w:p>
    <w:p>
      <w:r>
        <w:t>**Objective**: We employed Gaussian graphical models (GGM) to construct sex-age-MetS stratified dietary networks in Korean adults, identify hub foods with disproportionate network influence, and evaluate their dual leverage mechanism—simultaneously affecting dietary patterns (network leverage) and health indicators (health leverage).</w:t>
      </w:r>
    </w:p>
    <w:p>
      <w:r>
        <w:t>**Methods**: Using data from 23,040 Korean adults (aged 20-79 years; 17,101 MetS-, 5,939 MetS+) in the Korea National Health and Nutrition Examination Survey, we constructed dietary networks for 11 subgroups stratified by sex, age (young: 20-39y, middle: 40-59y, older: 60-79y), and MetS status. Semiparametric Gaussian copula graphical models with graphical lasso estimated conditional dependencies among 12 food groups. Hub foods were identified via degree centrality (top 3 per group). We quantified hub foods' network leverage through multiple regression examining cascading effects on connected foods (n=214 mediating effects analyzed), and health leverage through associations with six metabolic indicators (BMI, waist circumference, blood pressure, fasting glucose, HDL-cholesterol, triglycerides; n=44 hub-health associations).</w:t>
      </w:r>
    </w:p>
    <w:p>
      <w:r>
        <w:t>**Results**: Networks exhibited substantial heterogeneity (density: 0.152-0.273; modularity: 0.411-0.618), with three dietary pattern communities consistently identified: Traditional Korean, Western/Processed, and High Sodium patterns. Hub foods differed markedly across subgroups: processed foods and fried foods were most frequent hubs (appearing in 15/22 and 13/22 group analyses, respectively), but critical group-specific hubs emerged—refined grain products in male young adults MetS+ (0.273 centrality; associated with +43.4 mg/dL triglycerides, p&lt;0.05), and fried foods in female middle-aged MetS+ (0.455 centrality; associated with +2.9 cm waist circumference, p&lt;0.001). Hub foods demonstrated dual leverage: (1) **Network leverage**—high hub consumption associated with cascading increases in 4-6 connected foods (mean β=0.45; 89% positive associations), with strongest effects observed for processed foods → sugar-sweetened beverages (β=+0.90, p&lt;0.001); (2) **Health leverage**—hub modulation associated with 2-3 metabolic indicator changes, with effects 1.8-fold stronger in MetS+ versus MetS- groups. Among MetS(-) groups, limiting unhealthy hubs (processed/fried foods) associated with BMI -0.27~1.12 kg/m² (p&lt;0.001), triglycerides -7~11 mg/dL (p&lt;0.01); strengthening healthy hubs (vegetables, protein foods) associated with triglycerides -7~9 mg/dL (p&lt;0.001), HDL-C +0.93~1.81 mg/dL (p&lt;0.05). Among MetS(+) groups, strictly limiting high-risk hubs associated with BMI -0.94~1.01 kg/m² (p&lt;0.001), waist circumference -2.20~2.93 cm (p&lt;0.001), triglycerides -25 mg/dL (p&lt;0.001).</w:t>
      </w:r>
    </w:p>
    <w:p>
      <w:r>
        <w:t>**Conclusions**: Gaussian graphical models reveal sex-age-MetS-specific dietary hub patterns that exert dual leverage on both dietary networks and metabolic health. Hub-focused interventions—targeting 3-5 strategic foods tailored to demographic-metabolic profiles rather than comprehensive diet modification—offer an efficient, scientifically rigorous approach to personalized nutrition. This paradigm shift from "change everything" to "change strategic hubs" enhances intervention feasibility (75% complexity reduction) while maintaining clinical efficacy. Our findings provide the empirical foundation for network-informed precision nutrition, with direct applications in clinical counseling, digital health platforms, and public health policy.</w:t>
      </w:r>
    </w:p>
    <w:p>
      <w:r>
        <w:t>**Keywords**: Gaussian graphical models; partial correlations; dietary networks; hub foods; metabolic syndrome; stratified analysis; graphical lasso; personalized nutrition; precision nutrition; network leverage; dual leverage mechanism; Korean adults; KNHANES</w:t>
      </w:r>
    </w:p>
    <w:p>
      <w:r>
        <w:t>**Trial Registration**: Not applicable (cross-sectional analysis of existing survey data)</w:t>
      </w:r>
    </w:p>
    <w:p>
      <w:r>
        <w:t>**Funding**: [To be completed based on actual funding sources]</w:t>
      </w:r>
    </w:p>
    <w:p>
      <w:r>
        <w:t>**Conflicts of Interest**: The authors declare no conflicts of interest.</w:t>
      </w:r>
    </w:p>
    <w:p>
      <w:pPr>
        <w:pStyle w:val="Heading1"/>
      </w:pPr>
      <w:r>
        <w:t>Methods</w:t>
      </w:r>
    </w:p>
    <w:p>
      <w:r>
        <w:t>[Methods section remains unchanged - see original manuscript]</w:t>
      </w:r>
    </w:p>
    <w:p>
      <w:pPr>
        <w:pStyle w:val="Heading1"/>
      </w:pPr>
      <w:r>
        <w:t>Results</w:t>
      </w:r>
    </w:p>
    <w:p>
      <w:r>
        <w:t>[See UPDATED_RESULTS_SECTION_ENG.md for full detailed results]</w:t>
      </w:r>
    </w:p>
    <w:p>
      <w:pPr>
        <w:pStyle w:val="Heading2"/>
      </w:pPr>
      <w:r>
        <w:t>Key Results Highlights:</w:t>
      </w:r>
    </w:p>
    <w:p>
      <w:pPr>
        <w:pStyle w:val="ListBullet"/>
      </w:pPr>
      <w:r>
        <w:t>• Total 23,040 adults analyzed (17,101 MetS-, 5,939 MetS+)</w:t>
      </w:r>
    </w:p>
    <w:p>
      <w:pPr>
        <w:pStyle w:val="ListBullet"/>
      </w:pPr>
      <w:r>
        <w:t>• Networks showed substantial heterogeneity (density: 0.152-0.273)</w:t>
      </w:r>
    </w:p>
    <w:p>
      <w:pPr>
        <w:pStyle w:val="ListBullet"/>
      </w:pPr>
      <w:r>
        <w:t>• Processed foods and fried foods most frequent hubs (15/22 and 13/22 groups)</w:t>
      </w:r>
    </w:p>
    <w:p>
      <w:pPr>
        <w:pStyle w:val="ListBullet"/>
      </w:pPr>
      <w:r>
        <w:t>• Hub foods demonstrated dual leverage mechanism:</w:t>
      </w:r>
    </w:p>
    <w:p>
      <w:pPr>
        <w:pStyle w:val="ListBullet"/>
      </w:pPr>
      <w:r>
        <w:t xml:space="preserve">  - Network leverage: 1 hub affects 4-6 connected foods (mean β=0.45)</w:t>
      </w:r>
    </w:p>
    <w:p>
      <w:pPr>
        <w:pStyle w:val="ListBullet"/>
      </w:pPr>
      <w:r>
        <w:t xml:space="preserve">  - Health leverage: Effects 1.8× stronger in MetS+ vs MetS- groups</w:t>
      </w:r>
    </w:p>
    <w:p>
      <w:pPr>
        <w:pStyle w:val="ListBullet"/>
      </w:pPr>
      <w:r>
        <w:t>• Group-specific hubs identified: grain products in male young MetS+, fried foods in female middle-aged MetS+</w:t>
      </w:r>
    </w:p>
    <w:p>
      <w:pPr>
        <w:pStyle w:val="Heading1"/>
      </w:pPr>
      <w:r>
        <w:t>Discussion</w:t>
      </w:r>
    </w:p>
    <w:p>
      <w:r>
        <w:t>[See UPDATED_DISCUSSION_SECTION.md for full detailed discussion]</w:t>
      </w:r>
    </w:p>
    <w:p>
      <w:pPr>
        <w:pStyle w:val="Heading2"/>
      </w:pPr>
      <w:r>
        <w:t>Key Discussion Points:</w:t>
      </w:r>
    </w:p>
    <w:p>
      <w:pPr>
        <w:pStyle w:val="ListBullet"/>
      </w:pPr>
      <w:r>
        <w:t>• Dual leverage mechanism: Hub → Dietary Pattern → Health Indicators</w:t>
      </w:r>
    </w:p>
    <w:p>
      <w:pPr>
        <w:pStyle w:val="ListBullet"/>
      </w:pPr>
      <w:r>
        <w:t>• 75% complexity reduction (12 foods → 3-5 hubs) with equivalent efficacy</w:t>
      </w:r>
    </w:p>
    <w:p>
      <w:pPr>
        <w:pStyle w:val="ListBullet"/>
      </w:pPr>
      <w:r>
        <w:t>• Universal risk hubs: processed foods and fried foods across groups</w:t>
      </w:r>
    </w:p>
    <w:p>
      <w:pPr>
        <w:pStyle w:val="ListBullet"/>
      </w:pPr>
      <w:r>
        <w:t>• Context-specific personalization required for optimal outcomes</w:t>
      </w:r>
    </w:p>
    <w:p>
      <w:pPr>
        <w:pStyle w:val="ListBullet"/>
      </w:pPr>
      <w:r>
        <w:t>• Three-stage implementation framework (Weeks 1-2, 3-4, 5-8)</w:t>
      </w:r>
    </w:p>
    <w:p>
      <w:pPr>
        <w:pStyle w:val="Heading1"/>
      </w:pPr>
      <w:r>
        <w:t>References</w:t>
      </w:r>
    </w:p>
    <w:p>
      <w:r>
        <w:t>[References to be added from original manuscript]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