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4FBBA" w14:textId="02F39D8A" w:rsidR="009B6D8F" w:rsidRPr="00766B78" w:rsidRDefault="00766B78" w:rsidP="00766B78">
      <w:pPr>
        <w:jc w:val="both"/>
        <w:rPr>
          <w:rFonts w:ascii="Arial" w:hAnsi="Arial" w:cs="Arial"/>
        </w:rPr>
      </w:pPr>
      <w:r w:rsidRPr="00766B78">
        <w:rPr>
          <w:rFonts w:ascii="Arial" w:hAnsi="Arial" w:cs="Arial"/>
          <w:b/>
          <w:sz w:val="32"/>
        </w:rPr>
        <w:t>Gaussian Graphical Models Reveal Sex-Age-Metabolic Syndrome-Specific Dietary Hub Patterns for Personalized Nutrition Interventions: A Network Analysis of 23,040 Korean Adults</w:t>
      </w:r>
    </w:p>
    <w:p w14:paraId="60B9E7E2" w14:textId="77777777" w:rsidR="009B6D8F" w:rsidRPr="000E6FD4" w:rsidRDefault="009B6D8F" w:rsidP="000E6FD4">
      <w:pPr>
        <w:jc w:val="both"/>
        <w:rPr>
          <w:rFonts w:ascii="Arial" w:hAnsi="Arial" w:cs="Arial"/>
        </w:rPr>
      </w:pPr>
    </w:p>
    <w:p w14:paraId="6F8C51FE" w14:textId="77777777" w:rsidR="00766B78" w:rsidRDefault="00766B78">
      <w:pPr>
        <w:rPr>
          <w:rFonts w:ascii="Arial" w:hAnsi="Arial" w:cs="Arial"/>
          <w:b/>
          <w:bCs/>
        </w:rPr>
      </w:pPr>
      <w:r>
        <w:rPr>
          <w:rFonts w:ascii="Arial" w:hAnsi="Arial" w:cs="Arial"/>
          <w:b/>
          <w:bCs/>
        </w:rPr>
        <w:br w:type="page"/>
      </w:r>
    </w:p>
    <w:p w14:paraId="5701B6B8" w14:textId="6AE1B291" w:rsidR="009B6D8F" w:rsidRPr="00766B78" w:rsidRDefault="00000000" w:rsidP="000E6FD4">
      <w:pPr>
        <w:jc w:val="both"/>
        <w:rPr>
          <w:rFonts w:ascii="Arial" w:hAnsi="Arial" w:cs="Arial"/>
          <w:b/>
          <w:bCs/>
          <w:sz w:val="24"/>
          <w:szCs w:val="24"/>
        </w:rPr>
      </w:pPr>
      <w:r w:rsidRPr="00766B78">
        <w:rPr>
          <w:rFonts w:ascii="Arial" w:hAnsi="Arial" w:cs="Arial"/>
          <w:b/>
          <w:bCs/>
          <w:sz w:val="24"/>
          <w:szCs w:val="24"/>
        </w:rPr>
        <w:lastRenderedPageBreak/>
        <w:t>ABSTRACT</w:t>
      </w:r>
    </w:p>
    <w:p w14:paraId="77CBA714" w14:textId="492E5599" w:rsidR="009B6D8F" w:rsidRPr="00766B78" w:rsidRDefault="00000000" w:rsidP="000E6FD4">
      <w:pPr>
        <w:jc w:val="both"/>
        <w:rPr>
          <w:rFonts w:ascii="Arial" w:hAnsi="Arial" w:cs="Arial"/>
          <w:sz w:val="24"/>
          <w:szCs w:val="24"/>
        </w:rPr>
      </w:pPr>
      <w:r w:rsidRPr="00766B78">
        <w:rPr>
          <w:rFonts w:ascii="Arial" w:hAnsi="Arial" w:cs="Arial"/>
          <w:b/>
          <w:sz w:val="24"/>
          <w:szCs w:val="24"/>
        </w:rPr>
        <w:t xml:space="preserve">Background: </w:t>
      </w:r>
      <w:r w:rsidRPr="00766B78">
        <w:rPr>
          <w:rFonts w:ascii="Arial" w:hAnsi="Arial" w:cs="Arial"/>
          <w:sz w:val="24"/>
          <w:szCs w:val="24"/>
        </w:rPr>
        <w:t>Metabolic syndrome (</w:t>
      </w:r>
      <w:proofErr w:type="spellStart"/>
      <w:r w:rsidRPr="00766B78">
        <w:rPr>
          <w:rFonts w:ascii="Arial" w:hAnsi="Arial" w:cs="Arial"/>
          <w:sz w:val="24"/>
          <w:szCs w:val="24"/>
        </w:rPr>
        <w:t>MetS</w:t>
      </w:r>
      <w:proofErr w:type="spellEnd"/>
      <w:r w:rsidRPr="00766B78">
        <w:rPr>
          <w:rFonts w:ascii="Arial" w:hAnsi="Arial" w:cs="Arial"/>
          <w:sz w:val="24"/>
          <w:szCs w:val="24"/>
        </w:rPr>
        <w:t>) affects one quarter of adults globally. Network analysis may identify strategic hub foods, but demographic-metabolic heterogeneity remains unexplored.</w:t>
      </w:r>
    </w:p>
    <w:p w14:paraId="5AD59C3B" w14:textId="77777777" w:rsidR="009B6D8F" w:rsidRPr="00766B78" w:rsidRDefault="00000000" w:rsidP="000E6FD4">
      <w:pPr>
        <w:jc w:val="both"/>
        <w:rPr>
          <w:rFonts w:ascii="Arial" w:hAnsi="Arial" w:cs="Arial"/>
          <w:sz w:val="24"/>
          <w:szCs w:val="24"/>
        </w:rPr>
      </w:pPr>
      <w:r w:rsidRPr="00766B78">
        <w:rPr>
          <w:rFonts w:ascii="Arial" w:hAnsi="Arial" w:cs="Arial"/>
          <w:b/>
          <w:sz w:val="24"/>
          <w:szCs w:val="24"/>
        </w:rPr>
        <w:t xml:space="preserve">Objective: </w:t>
      </w:r>
      <w:r w:rsidRPr="00766B78">
        <w:rPr>
          <w:rFonts w:ascii="Arial" w:hAnsi="Arial" w:cs="Arial"/>
          <w:sz w:val="24"/>
          <w:szCs w:val="24"/>
        </w:rPr>
        <w:t>We applied Gaussian graphical models to evaluate hub foods through dual leverage: network (cascading effects) and health (metabolic impacts).</w:t>
      </w:r>
    </w:p>
    <w:p w14:paraId="4FD767E9" w14:textId="77777777" w:rsidR="009B6D8F" w:rsidRPr="00766B78" w:rsidRDefault="00000000" w:rsidP="000E6FD4">
      <w:pPr>
        <w:jc w:val="both"/>
        <w:rPr>
          <w:rFonts w:ascii="Arial" w:hAnsi="Arial" w:cs="Arial"/>
          <w:sz w:val="24"/>
          <w:szCs w:val="24"/>
        </w:rPr>
      </w:pPr>
      <w:r w:rsidRPr="00766B78">
        <w:rPr>
          <w:rFonts w:ascii="Arial" w:hAnsi="Arial" w:cs="Arial"/>
          <w:b/>
          <w:sz w:val="24"/>
          <w:szCs w:val="24"/>
        </w:rPr>
        <w:t xml:space="preserve">Methods: </w:t>
      </w:r>
      <w:r w:rsidRPr="00766B78">
        <w:rPr>
          <w:rFonts w:ascii="Arial" w:hAnsi="Arial" w:cs="Arial"/>
          <w:sz w:val="24"/>
          <w:szCs w:val="24"/>
        </w:rPr>
        <w:t>Cross-sectional analysis of 23,040 Korean adults (H-PEACE 2013-2019). We constructed networks for 11 subgroups (sex × age × MetS), identified hubs via degree centrality, and quantified dual leverage.</w:t>
      </w:r>
    </w:p>
    <w:p w14:paraId="15BA45BD" w14:textId="77777777" w:rsidR="009B6D8F" w:rsidRPr="00766B78" w:rsidRDefault="00000000" w:rsidP="000E6FD4">
      <w:pPr>
        <w:jc w:val="both"/>
        <w:rPr>
          <w:rFonts w:ascii="Arial" w:hAnsi="Arial" w:cs="Arial"/>
          <w:sz w:val="24"/>
          <w:szCs w:val="24"/>
        </w:rPr>
      </w:pPr>
      <w:r w:rsidRPr="00766B78">
        <w:rPr>
          <w:rFonts w:ascii="Arial" w:hAnsi="Arial" w:cs="Arial"/>
          <w:b/>
          <w:sz w:val="24"/>
          <w:szCs w:val="24"/>
        </w:rPr>
        <w:t xml:space="preserve">Results: </w:t>
      </w:r>
      <w:r w:rsidRPr="00766B78">
        <w:rPr>
          <w:rFonts w:ascii="Arial" w:hAnsi="Arial" w:cs="Arial"/>
          <w:sz w:val="24"/>
          <w:szCs w:val="24"/>
        </w:rPr>
        <w:t>Networks: 10-18 edges, density 0.152-0.273. Hub frequency: fried foods 100%, processed foods 91%, sugar-sweetened beverages 82%. Network leverage: 241/352 pathways significant (68%), mean β=0.19 (range -0.45 to +1.04), 4-5 foods/hub. Health leverage: 21/224 associations significant (9.4%), effects 1.5-2.0× stronger in MetS+ vs MetS-. Hub-focused interventions: 75% complexity reduction (3-5 vs 12 targets).</w:t>
      </w:r>
    </w:p>
    <w:p w14:paraId="26123350" w14:textId="77777777" w:rsidR="009B6D8F" w:rsidRPr="00766B78" w:rsidRDefault="00000000" w:rsidP="000E6FD4">
      <w:pPr>
        <w:jc w:val="both"/>
        <w:rPr>
          <w:rFonts w:ascii="Arial" w:hAnsi="Arial" w:cs="Arial"/>
          <w:sz w:val="24"/>
          <w:szCs w:val="24"/>
        </w:rPr>
      </w:pPr>
      <w:r w:rsidRPr="00766B78">
        <w:rPr>
          <w:rFonts w:ascii="Arial" w:hAnsi="Arial" w:cs="Arial"/>
          <w:b/>
          <w:sz w:val="24"/>
          <w:szCs w:val="24"/>
        </w:rPr>
        <w:t xml:space="preserve">Conclusions: </w:t>
      </w:r>
      <w:r w:rsidRPr="00766B78">
        <w:rPr>
          <w:rFonts w:ascii="Arial" w:hAnsi="Arial" w:cs="Arial"/>
          <w:sz w:val="24"/>
          <w:szCs w:val="24"/>
        </w:rPr>
        <w:t>Dietary networks demonstrate substantial heterogeneity. Hub-focused interventions offer simplified precision nutrition. Trials warranted.</w:t>
      </w:r>
    </w:p>
    <w:p w14:paraId="23473AC3" w14:textId="77777777" w:rsidR="009B6D8F" w:rsidRPr="00766B78" w:rsidRDefault="00000000" w:rsidP="000E6FD4">
      <w:pPr>
        <w:jc w:val="both"/>
        <w:rPr>
          <w:rFonts w:ascii="Arial" w:hAnsi="Arial" w:cs="Arial"/>
          <w:sz w:val="24"/>
          <w:szCs w:val="24"/>
        </w:rPr>
      </w:pPr>
      <w:r w:rsidRPr="00766B78">
        <w:rPr>
          <w:rFonts w:ascii="Arial" w:hAnsi="Arial" w:cs="Arial"/>
          <w:b/>
          <w:i/>
          <w:sz w:val="24"/>
          <w:szCs w:val="24"/>
        </w:rPr>
        <w:t xml:space="preserve">Keywords: </w:t>
      </w:r>
      <w:r w:rsidRPr="00766B78">
        <w:rPr>
          <w:rFonts w:ascii="Arial" w:hAnsi="Arial" w:cs="Arial"/>
          <w:i/>
          <w:sz w:val="24"/>
          <w:szCs w:val="24"/>
        </w:rPr>
        <w:t>dietary networks, Gaussian graphical models, metabolic syndrome, hub foods, precision nutrition</w:t>
      </w:r>
    </w:p>
    <w:p w14:paraId="7EA6153D" w14:textId="77777777" w:rsidR="009B6D8F" w:rsidRPr="00766B78" w:rsidRDefault="009B6D8F" w:rsidP="000E6FD4">
      <w:pPr>
        <w:jc w:val="both"/>
        <w:rPr>
          <w:rFonts w:ascii="Arial" w:hAnsi="Arial" w:cs="Arial"/>
          <w:sz w:val="24"/>
          <w:szCs w:val="24"/>
        </w:rPr>
      </w:pPr>
    </w:p>
    <w:p w14:paraId="0FDEC23A" w14:textId="77777777" w:rsidR="000E6FD4" w:rsidRPr="00766B78" w:rsidRDefault="000E6FD4">
      <w:pPr>
        <w:rPr>
          <w:rFonts w:ascii="Arial" w:hAnsi="Arial" w:cs="Arial"/>
          <w:b/>
          <w:bCs/>
          <w:sz w:val="24"/>
          <w:szCs w:val="24"/>
        </w:rPr>
      </w:pPr>
      <w:r w:rsidRPr="00766B78">
        <w:rPr>
          <w:rFonts w:ascii="Arial" w:hAnsi="Arial" w:cs="Arial"/>
          <w:b/>
          <w:bCs/>
          <w:sz w:val="24"/>
          <w:szCs w:val="24"/>
        </w:rPr>
        <w:br w:type="page"/>
      </w:r>
    </w:p>
    <w:p w14:paraId="4489D386" w14:textId="145EB1FC" w:rsidR="009B6D8F" w:rsidRPr="00766B78" w:rsidRDefault="00000000" w:rsidP="000E6FD4">
      <w:pPr>
        <w:jc w:val="both"/>
        <w:rPr>
          <w:rFonts w:ascii="Arial" w:hAnsi="Arial" w:cs="Arial"/>
          <w:b/>
          <w:bCs/>
          <w:sz w:val="24"/>
          <w:szCs w:val="24"/>
        </w:rPr>
      </w:pPr>
      <w:r w:rsidRPr="00766B78">
        <w:rPr>
          <w:rFonts w:ascii="Arial" w:hAnsi="Arial" w:cs="Arial"/>
          <w:b/>
          <w:bCs/>
          <w:sz w:val="24"/>
          <w:szCs w:val="24"/>
        </w:rPr>
        <w:lastRenderedPageBreak/>
        <w:t>INTRODUCTION</w:t>
      </w:r>
    </w:p>
    <w:p w14:paraId="78F5C145" w14:textId="77777777" w:rsidR="00766B78" w:rsidRPr="00766B78" w:rsidRDefault="00766B78" w:rsidP="00766B78">
      <w:pPr>
        <w:jc w:val="both"/>
        <w:rPr>
          <w:rFonts w:ascii="Arial" w:hAnsi="Arial" w:cs="Arial"/>
          <w:sz w:val="24"/>
          <w:szCs w:val="24"/>
        </w:rPr>
      </w:pPr>
      <w:r w:rsidRPr="00766B78">
        <w:rPr>
          <w:rFonts w:ascii="Arial" w:hAnsi="Arial" w:cs="Arial"/>
          <w:sz w:val="24"/>
          <w:szCs w:val="24"/>
        </w:rPr>
        <w:t>Metabolic syndrome (</w:t>
      </w:r>
      <w:proofErr w:type="spellStart"/>
      <w:r w:rsidRPr="00766B78">
        <w:rPr>
          <w:rFonts w:ascii="Arial" w:hAnsi="Arial" w:cs="Arial"/>
          <w:sz w:val="24"/>
          <w:szCs w:val="24"/>
        </w:rPr>
        <w:t>MetS</w:t>
      </w:r>
      <w:proofErr w:type="spellEnd"/>
      <w:r w:rsidRPr="00766B78">
        <w:rPr>
          <w:rFonts w:ascii="Arial" w:hAnsi="Arial" w:cs="Arial"/>
          <w:sz w:val="24"/>
          <w:szCs w:val="24"/>
        </w:rPr>
        <w:t xml:space="preserve">) affects approximately one quarter of the global adult population and substantially elevates risk for type 2 diabetes and cardiovascular disease (1, 2). Dietary modification remains the cornerstone of </w:t>
      </w:r>
      <w:proofErr w:type="spellStart"/>
      <w:r w:rsidRPr="00766B78">
        <w:rPr>
          <w:rFonts w:ascii="Arial" w:hAnsi="Arial" w:cs="Arial"/>
          <w:sz w:val="24"/>
          <w:szCs w:val="24"/>
        </w:rPr>
        <w:t>MetS</w:t>
      </w:r>
      <w:proofErr w:type="spellEnd"/>
      <w:r w:rsidRPr="00766B78">
        <w:rPr>
          <w:rFonts w:ascii="Arial" w:hAnsi="Arial" w:cs="Arial"/>
          <w:sz w:val="24"/>
          <w:szCs w:val="24"/>
        </w:rPr>
        <w:t xml:space="preserve"> prevention and management, yet identifying optimal dietary intervention targets for diverse population subgroups presents persistent challenges (3, 4). Traditional dietary assessment methods—analyzing individual nutrients or deriving patterns through data reduction techniques such as principal component analysis or cluster analysis—may inadequately capture the complex, interconnected nature of human food consumption behaviors (5, 6). Furthermore, conventional co-occurrence approaches can detect spurious associations arising from confounding by shared dietary determinants, leading to inflated estimates of food-food relationships (7).</w:t>
      </w:r>
    </w:p>
    <w:p w14:paraId="07047792" w14:textId="77777777" w:rsidR="00766B78" w:rsidRPr="00766B78" w:rsidRDefault="00766B78" w:rsidP="00766B78">
      <w:pPr>
        <w:jc w:val="both"/>
        <w:rPr>
          <w:rFonts w:ascii="Arial" w:hAnsi="Arial" w:cs="Arial"/>
          <w:sz w:val="24"/>
          <w:szCs w:val="24"/>
        </w:rPr>
      </w:pPr>
      <w:r w:rsidRPr="00766B78">
        <w:rPr>
          <w:rFonts w:ascii="Arial" w:hAnsi="Arial" w:cs="Arial"/>
          <w:sz w:val="24"/>
          <w:szCs w:val="24"/>
        </w:rPr>
        <w:t>Gaussian graphical models (GGM) offer a methodologically sophisticated framework for dietary network analysis by modeling conditional dependencies through partial correlations—the unique pairwise associations between foods after statistically controlling for all other dietary components (8, 9). Unlike simple correlation networks that conflate direct and indirect relationships, GGM explicitly adjusts for potential confounders by estimating the correlation between two foods conditional on all remaining foods in the network (10, 11). This approach reveals "hub" foods—those maintaining direct connections with multiple other foods—which may serve as strategic leverage points for behavioral interventions. Semiparametric extensions employing Gaussian copulas accommodate non-normal distributions typical of dietary frequency data while preserving the interpretability of correlation-based networks (12, 13).</w:t>
      </w:r>
    </w:p>
    <w:p w14:paraId="516BC71F" w14:textId="77777777" w:rsidR="00766B78" w:rsidRPr="00766B78" w:rsidRDefault="00766B78" w:rsidP="00766B78">
      <w:pPr>
        <w:jc w:val="both"/>
        <w:rPr>
          <w:rFonts w:ascii="Arial" w:hAnsi="Arial" w:cs="Arial"/>
          <w:sz w:val="24"/>
          <w:szCs w:val="24"/>
        </w:rPr>
      </w:pPr>
      <w:r w:rsidRPr="00766B78">
        <w:rPr>
          <w:rFonts w:ascii="Arial" w:hAnsi="Arial" w:cs="Arial"/>
          <w:sz w:val="24"/>
          <w:szCs w:val="24"/>
        </w:rPr>
        <w:t>Recent applications of GGM to dietary epidemiology have identified meal-specific and habitual dietary networks in European populations (12, 13) and pregnancy-related dietary patterns in U.S. cohorts (14). However, these pioneering studies analyzed populations as single homogeneous entities, potentially obscuring substantial heterogeneity across demographic and clinical subgroups (15, 16). Given well-established differences in dietary preferences by sex and age (17, 18), coupled with the complex bidirectional relationship between diet and metabolic health status (19, 20), stratified GGM analysis is essential to inform personalized nutrition strategies—a priority area in contemporary nutritional sciences (21, 22).</w:t>
      </w:r>
    </w:p>
    <w:p w14:paraId="2EC2DB1C" w14:textId="77777777" w:rsidR="00766B78" w:rsidRPr="00766B78" w:rsidRDefault="00766B78" w:rsidP="00766B78">
      <w:pPr>
        <w:jc w:val="both"/>
        <w:rPr>
          <w:rFonts w:ascii="Arial" w:hAnsi="Arial" w:cs="Arial"/>
          <w:sz w:val="24"/>
          <w:szCs w:val="24"/>
        </w:rPr>
      </w:pPr>
      <w:r w:rsidRPr="00766B78">
        <w:rPr>
          <w:rFonts w:ascii="Arial" w:hAnsi="Arial" w:cs="Arial"/>
          <w:sz w:val="24"/>
          <w:szCs w:val="24"/>
        </w:rPr>
        <w:t xml:space="preserve">Moreover, previous dietary network studies have primarily focused on network topology descriptors without explicitly quantifying the functional implications of hub foods through two critical pathways: (1) network leverage—the cascading influence of hub food consumption on intake of connected foods, representing </w:t>
      </w:r>
      <w:r w:rsidRPr="00766B78">
        <w:rPr>
          <w:rFonts w:ascii="Arial" w:hAnsi="Arial" w:cs="Arial"/>
          <w:sz w:val="24"/>
          <w:szCs w:val="24"/>
        </w:rPr>
        <w:lastRenderedPageBreak/>
        <w:t>within-diet behavioral spillover effects; and (2) health leverage—the direct associations between hub foods and clinically relevant metabolic health indicators. Empirical characterization of this dual leverage mechanism would provide the mechanistic rationale for hub-focused dietary interventions as an efficient alternative to traditional comprehensive dietary modifications.</w:t>
      </w:r>
    </w:p>
    <w:p w14:paraId="338D5D6C" w14:textId="045C9BC4" w:rsidR="009B6D8F" w:rsidRPr="00766B78" w:rsidRDefault="00766B78" w:rsidP="00766B78">
      <w:pPr>
        <w:jc w:val="both"/>
        <w:rPr>
          <w:rFonts w:ascii="Arial" w:hAnsi="Arial" w:cs="Arial"/>
          <w:sz w:val="24"/>
          <w:szCs w:val="24"/>
        </w:rPr>
      </w:pPr>
      <w:r w:rsidRPr="00766B78">
        <w:rPr>
          <w:rFonts w:ascii="Arial" w:hAnsi="Arial" w:cs="Arial"/>
          <w:sz w:val="24"/>
          <w:szCs w:val="24"/>
        </w:rPr>
        <w:t>To address these knowledge gaps, we conducted a large-scale, sex-age-</w:t>
      </w:r>
      <w:proofErr w:type="spellStart"/>
      <w:r w:rsidRPr="00766B78">
        <w:rPr>
          <w:rFonts w:ascii="Arial" w:hAnsi="Arial" w:cs="Arial"/>
          <w:sz w:val="24"/>
          <w:szCs w:val="24"/>
        </w:rPr>
        <w:t>MetS</w:t>
      </w:r>
      <w:proofErr w:type="spellEnd"/>
      <w:r w:rsidRPr="00766B78">
        <w:rPr>
          <w:rFonts w:ascii="Arial" w:hAnsi="Arial" w:cs="Arial"/>
          <w:sz w:val="24"/>
          <w:szCs w:val="24"/>
        </w:rPr>
        <w:t>-stratified GGM analysis of dietary patterns in 23,040 Korean adults participating in the Health and Prevention Enhancement (H-PEACE) study. Our specific objectives were to: (1) construct conditional dependency networks using semiparametric Gaussian copula graphical models with cross-validated graphical lasso regularization; (2) identify hub foods within each demographic-metabolic subgroup using degree centrality metrics; (3) quantify the network leverage of hub foods through analysis of cascading effects on consumption of connected foods; (4) assess the health leverage of hub foods through associations with six metabolic health indicators; and (5) distinguish universal hubs appearing across demographic strata from group-specific hubs requiring tailored intervention strategies. These findings provide empirical evidence for network-informed precision nutrition, offering actionable targets for both population-wide and personalized dietary interventions grounded in actual consumption patterns.</w:t>
      </w:r>
    </w:p>
    <w:p w14:paraId="4A54F635" w14:textId="77777777" w:rsidR="000E6FD4" w:rsidRPr="00766B78" w:rsidRDefault="000E6FD4">
      <w:pPr>
        <w:rPr>
          <w:rFonts w:ascii="Arial" w:hAnsi="Arial" w:cs="Arial"/>
          <w:b/>
          <w:bCs/>
          <w:sz w:val="24"/>
          <w:szCs w:val="24"/>
        </w:rPr>
      </w:pPr>
      <w:r w:rsidRPr="00766B78">
        <w:rPr>
          <w:rFonts w:ascii="Arial" w:hAnsi="Arial" w:cs="Arial"/>
          <w:b/>
          <w:bCs/>
          <w:sz w:val="24"/>
          <w:szCs w:val="24"/>
        </w:rPr>
        <w:br w:type="page"/>
      </w:r>
    </w:p>
    <w:p w14:paraId="5145BB98" w14:textId="6FCDEEF4" w:rsidR="009B6D8F" w:rsidRPr="00766B78" w:rsidRDefault="00000000" w:rsidP="000E6FD4">
      <w:pPr>
        <w:jc w:val="both"/>
        <w:rPr>
          <w:rFonts w:ascii="Arial" w:hAnsi="Arial" w:cs="Arial"/>
          <w:b/>
          <w:bCs/>
          <w:sz w:val="24"/>
          <w:szCs w:val="24"/>
        </w:rPr>
      </w:pPr>
      <w:r w:rsidRPr="00766B78">
        <w:rPr>
          <w:rFonts w:ascii="Arial" w:hAnsi="Arial" w:cs="Arial"/>
          <w:b/>
          <w:bCs/>
          <w:sz w:val="24"/>
          <w:szCs w:val="24"/>
        </w:rPr>
        <w:lastRenderedPageBreak/>
        <w:t>METHODS</w:t>
      </w:r>
    </w:p>
    <w:p w14:paraId="7B3A9B5E" w14:textId="77777777" w:rsidR="009B6D8F" w:rsidRPr="00766B78" w:rsidRDefault="00000000" w:rsidP="000E6FD4">
      <w:pPr>
        <w:jc w:val="both"/>
        <w:rPr>
          <w:rFonts w:ascii="Arial" w:hAnsi="Arial" w:cs="Arial"/>
          <w:b/>
          <w:bCs/>
          <w:i/>
          <w:iCs/>
          <w:sz w:val="24"/>
          <w:szCs w:val="24"/>
        </w:rPr>
      </w:pPr>
      <w:r w:rsidRPr="00766B78">
        <w:rPr>
          <w:rFonts w:ascii="Arial" w:hAnsi="Arial" w:cs="Arial"/>
          <w:b/>
          <w:bCs/>
          <w:i/>
          <w:iCs/>
          <w:sz w:val="24"/>
          <w:szCs w:val="24"/>
        </w:rPr>
        <w:t>Study Population and Design</w:t>
      </w:r>
    </w:p>
    <w:p w14:paraId="1A53B538" w14:textId="77777777" w:rsidR="00766B78" w:rsidRPr="00766B78" w:rsidRDefault="00766B78" w:rsidP="00766B78">
      <w:pPr>
        <w:jc w:val="both"/>
        <w:rPr>
          <w:rFonts w:ascii="Arial" w:hAnsi="Arial" w:cs="Arial"/>
          <w:sz w:val="24"/>
          <w:szCs w:val="24"/>
        </w:rPr>
      </w:pPr>
      <w:r w:rsidRPr="00766B78">
        <w:rPr>
          <w:rFonts w:ascii="Arial" w:hAnsi="Arial" w:cs="Arial"/>
          <w:sz w:val="24"/>
          <w:szCs w:val="24"/>
        </w:rPr>
        <w:t>This study utilized data from the Health and Prevention Enhancement (H-PEACE) study, an ongoing prospective cohort investigation conducted at the Seoul National University Hospital Healthcare System Gangnam Center since 2003. The H-PEACE study was designed to investigate determinants and natural history of chronic diseases through comprehensive health screening examinations of Korean adults voluntarily participating in regular health checkups. Participants undergo standardized medical assessments including anthropometric measurements, blood pressure evaluation, fasting laboratory tests, and detailed questionnaires on lifestyle behaviors and dietary habits.</w:t>
      </w:r>
    </w:p>
    <w:p w14:paraId="185BE8EF" w14:textId="77777777" w:rsidR="00766B78" w:rsidRPr="00766B78" w:rsidRDefault="00766B78" w:rsidP="00766B78">
      <w:pPr>
        <w:jc w:val="both"/>
        <w:rPr>
          <w:rFonts w:ascii="Arial" w:hAnsi="Arial" w:cs="Arial"/>
          <w:sz w:val="24"/>
          <w:szCs w:val="24"/>
        </w:rPr>
      </w:pPr>
      <w:r w:rsidRPr="00766B78">
        <w:rPr>
          <w:rFonts w:ascii="Arial" w:hAnsi="Arial" w:cs="Arial"/>
          <w:sz w:val="24"/>
          <w:szCs w:val="24"/>
        </w:rPr>
        <w:t xml:space="preserve">For the current analysis, we included 23,040 adults aged 20-79 years who completed comprehensive health screening examinations and dietary assessments between 2003 and 2023. Participants were excluded if they had: (1) incomplete dietary data (missing ≥3 food frequency questionnaire items); (2) missing anthropometric or laboratory measurements required for </w:t>
      </w:r>
      <w:proofErr w:type="spellStart"/>
      <w:r w:rsidRPr="00766B78">
        <w:rPr>
          <w:rFonts w:ascii="Arial" w:hAnsi="Arial" w:cs="Arial"/>
          <w:sz w:val="24"/>
          <w:szCs w:val="24"/>
        </w:rPr>
        <w:t>MetS</w:t>
      </w:r>
      <w:proofErr w:type="spellEnd"/>
      <w:r w:rsidRPr="00766B78">
        <w:rPr>
          <w:rFonts w:ascii="Arial" w:hAnsi="Arial" w:cs="Arial"/>
          <w:sz w:val="24"/>
          <w:szCs w:val="24"/>
        </w:rPr>
        <w:t xml:space="preserve"> classification; or (3) history of major chronic diseases (cancer, cardiovascular disease, or chronic kidney disease stage ≥4) that could substantially alter dietary patterns independent of </w:t>
      </w:r>
      <w:proofErr w:type="spellStart"/>
      <w:r w:rsidRPr="00766B78">
        <w:rPr>
          <w:rFonts w:ascii="Arial" w:hAnsi="Arial" w:cs="Arial"/>
          <w:sz w:val="24"/>
          <w:szCs w:val="24"/>
        </w:rPr>
        <w:t>MetS</w:t>
      </w:r>
      <w:proofErr w:type="spellEnd"/>
      <w:r w:rsidRPr="00766B78">
        <w:rPr>
          <w:rFonts w:ascii="Arial" w:hAnsi="Arial" w:cs="Arial"/>
          <w:sz w:val="24"/>
          <w:szCs w:val="24"/>
        </w:rPr>
        <w:t xml:space="preserve"> status. The final analytical sample comprised 17,101 individuals without </w:t>
      </w:r>
      <w:proofErr w:type="spellStart"/>
      <w:r w:rsidRPr="00766B78">
        <w:rPr>
          <w:rFonts w:ascii="Arial" w:hAnsi="Arial" w:cs="Arial"/>
          <w:sz w:val="24"/>
          <w:szCs w:val="24"/>
        </w:rPr>
        <w:t>MetS</w:t>
      </w:r>
      <w:proofErr w:type="spellEnd"/>
      <w:r w:rsidRPr="00766B78">
        <w:rPr>
          <w:rFonts w:ascii="Arial" w:hAnsi="Arial" w:cs="Arial"/>
          <w:sz w:val="24"/>
          <w:szCs w:val="24"/>
        </w:rPr>
        <w:t xml:space="preserve"> (</w:t>
      </w:r>
      <w:proofErr w:type="spellStart"/>
      <w:r w:rsidRPr="00766B78">
        <w:rPr>
          <w:rFonts w:ascii="Arial" w:hAnsi="Arial" w:cs="Arial"/>
          <w:sz w:val="24"/>
          <w:szCs w:val="24"/>
        </w:rPr>
        <w:t>MetS</w:t>
      </w:r>
      <w:proofErr w:type="spellEnd"/>
      <w:r w:rsidRPr="00766B78">
        <w:rPr>
          <w:rFonts w:ascii="Arial" w:hAnsi="Arial" w:cs="Arial"/>
          <w:sz w:val="24"/>
          <w:szCs w:val="24"/>
        </w:rPr>
        <w:t xml:space="preserve">-) and 5,939 individuals with </w:t>
      </w:r>
      <w:proofErr w:type="spellStart"/>
      <w:r w:rsidRPr="00766B78">
        <w:rPr>
          <w:rFonts w:ascii="Arial" w:hAnsi="Arial" w:cs="Arial"/>
          <w:sz w:val="24"/>
          <w:szCs w:val="24"/>
        </w:rPr>
        <w:t>MetS</w:t>
      </w:r>
      <w:proofErr w:type="spellEnd"/>
      <w:r w:rsidRPr="00766B78">
        <w:rPr>
          <w:rFonts w:ascii="Arial" w:hAnsi="Arial" w:cs="Arial"/>
          <w:sz w:val="24"/>
          <w:szCs w:val="24"/>
        </w:rPr>
        <w:t xml:space="preserve"> (</w:t>
      </w:r>
      <w:proofErr w:type="spellStart"/>
      <w:r w:rsidRPr="00766B78">
        <w:rPr>
          <w:rFonts w:ascii="Arial" w:hAnsi="Arial" w:cs="Arial"/>
          <w:sz w:val="24"/>
          <w:szCs w:val="24"/>
        </w:rPr>
        <w:t>MetS</w:t>
      </w:r>
      <w:proofErr w:type="spellEnd"/>
      <w:r w:rsidRPr="00766B78">
        <w:rPr>
          <w:rFonts w:ascii="Arial" w:hAnsi="Arial" w:cs="Arial"/>
          <w:sz w:val="24"/>
          <w:szCs w:val="24"/>
        </w:rPr>
        <w:t>+).</w:t>
      </w:r>
    </w:p>
    <w:p w14:paraId="1903C629" w14:textId="77777777" w:rsidR="00766B78" w:rsidRPr="00766B78" w:rsidRDefault="00766B78" w:rsidP="00766B78">
      <w:pPr>
        <w:jc w:val="both"/>
        <w:rPr>
          <w:rFonts w:ascii="Arial" w:hAnsi="Arial" w:cs="Arial"/>
          <w:sz w:val="24"/>
          <w:szCs w:val="24"/>
        </w:rPr>
      </w:pPr>
      <w:r w:rsidRPr="00766B78">
        <w:rPr>
          <w:rFonts w:ascii="Arial" w:hAnsi="Arial" w:cs="Arial"/>
          <w:sz w:val="24"/>
          <w:szCs w:val="24"/>
        </w:rPr>
        <w:t xml:space="preserve">Participants were stratified into 11 subgroups by sex (male/female), age category (young adults: 20-39 y, middle-aged: 40-59 y, older adults: 60-79 y), and </w:t>
      </w:r>
      <w:proofErr w:type="spellStart"/>
      <w:r w:rsidRPr="00766B78">
        <w:rPr>
          <w:rFonts w:ascii="Arial" w:hAnsi="Arial" w:cs="Arial"/>
          <w:sz w:val="24"/>
          <w:szCs w:val="24"/>
        </w:rPr>
        <w:t>MetS</w:t>
      </w:r>
      <w:proofErr w:type="spellEnd"/>
      <w:r w:rsidRPr="00766B78">
        <w:rPr>
          <w:rFonts w:ascii="Arial" w:hAnsi="Arial" w:cs="Arial"/>
          <w:sz w:val="24"/>
          <w:szCs w:val="24"/>
        </w:rPr>
        <w:t xml:space="preserve"> status (</w:t>
      </w:r>
      <w:proofErr w:type="spellStart"/>
      <w:r w:rsidRPr="00766B78">
        <w:rPr>
          <w:rFonts w:ascii="Arial" w:hAnsi="Arial" w:cs="Arial"/>
          <w:sz w:val="24"/>
          <w:szCs w:val="24"/>
        </w:rPr>
        <w:t>MetS</w:t>
      </w:r>
      <w:proofErr w:type="spellEnd"/>
      <w:r w:rsidRPr="00766B78">
        <w:rPr>
          <w:rFonts w:ascii="Arial" w:hAnsi="Arial" w:cs="Arial"/>
          <w:sz w:val="24"/>
          <w:szCs w:val="24"/>
        </w:rPr>
        <w:t xml:space="preserve">-, </w:t>
      </w:r>
      <w:proofErr w:type="spellStart"/>
      <w:r w:rsidRPr="00766B78">
        <w:rPr>
          <w:rFonts w:ascii="Arial" w:hAnsi="Arial" w:cs="Arial"/>
          <w:sz w:val="24"/>
          <w:szCs w:val="24"/>
        </w:rPr>
        <w:t>MetS</w:t>
      </w:r>
      <w:proofErr w:type="spellEnd"/>
      <w:r w:rsidRPr="00766B78">
        <w:rPr>
          <w:rFonts w:ascii="Arial" w:hAnsi="Arial" w:cs="Arial"/>
          <w:sz w:val="24"/>
          <w:szCs w:val="24"/>
        </w:rPr>
        <w:t xml:space="preserve">+). The young female </w:t>
      </w:r>
      <w:proofErr w:type="spellStart"/>
      <w:r w:rsidRPr="00766B78">
        <w:rPr>
          <w:rFonts w:ascii="Arial" w:hAnsi="Arial" w:cs="Arial"/>
          <w:sz w:val="24"/>
          <w:szCs w:val="24"/>
        </w:rPr>
        <w:t>MetS</w:t>
      </w:r>
      <w:proofErr w:type="spellEnd"/>
      <w:r w:rsidRPr="00766B78">
        <w:rPr>
          <w:rFonts w:ascii="Arial" w:hAnsi="Arial" w:cs="Arial"/>
          <w:sz w:val="24"/>
          <w:szCs w:val="24"/>
        </w:rPr>
        <w:t>+ subgroup (n=76) was excluded from network analysis due to insufficient statistical power for reliable sparse network estimation (23, 24), yielding 11 analytical subgroups with sample sizes ranging from 516 to 5,629 participants per group (Supplementary Table S1).</w:t>
      </w:r>
    </w:p>
    <w:p w14:paraId="40D5C240" w14:textId="77777777" w:rsidR="00766B78" w:rsidRPr="00766B78" w:rsidRDefault="00766B78" w:rsidP="00766B78">
      <w:pPr>
        <w:jc w:val="both"/>
        <w:rPr>
          <w:rFonts w:ascii="Arial" w:hAnsi="Arial" w:cs="Arial"/>
          <w:sz w:val="24"/>
          <w:szCs w:val="24"/>
        </w:rPr>
      </w:pPr>
      <w:r w:rsidRPr="00766B78">
        <w:rPr>
          <w:rFonts w:ascii="Arial" w:hAnsi="Arial" w:cs="Arial"/>
          <w:sz w:val="24"/>
          <w:szCs w:val="24"/>
        </w:rPr>
        <w:t>The H-PEACE study protocol was approved by the Institutional Review Board of Seoul National University Hospital (IRB No. H-XXXX-XXX-XXX). All participants provided written informed consent prior to enrollment.</w:t>
      </w:r>
    </w:p>
    <w:p w14:paraId="24E43138" w14:textId="77777777" w:rsidR="009B6D8F" w:rsidRPr="00766B78" w:rsidRDefault="00000000" w:rsidP="000E6FD4">
      <w:pPr>
        <w:jc w:val="both"/>
        <w:rPr>
          <w:rFonts w:ascii="Arial" w:hAnsi="Arial" w:cs="Arial"/>
          <w:b/>
          <w:bCs/>
          <w:i/>
          <w:iCs/>
          <w:sz w:val="24"/>
          <w:szCs w:val="24"/>
        </w:rPr>
      </w:pPr>
      <w:r w:rsidRPr="00766B78">
        <w:rPr>
          <w:rFonts w:ascii="Arial" w:hAnsi="Arial" w:cs="Arial"/>
          <w:b/>
          <w:bCs/>
          <w:i/>
          <w:iCs/>
          <w:sz w:val="24"/>
          <w:szCs w:val="24"/>
        </w:rPr>
        <w:t>Metabolic Syndrome Definition</w:t>
      </w:r>
    </w:p>
    <w:p w14:paraId="6140F261" w14:textId="77777777" w:rsidR="009B6D8F" w:rsidRPr="00766B78" w:rsidRDefault="00000000" w:rsidP="000E6FD4">
      <w:pPr>
        <w:jc w:val="both"/>
        <w:rPr>
          <w:rFonts w:ascii="Arial" w:hAnsi="Arial" w:cs="Arial"/>
          <w:sz w:val="24"/>
          <w:szCs w:val="24"/>
        </w:rPr>
      </w:pPr>
      <w:proofErr w:type="spellStart"/>
      <w:r w:rsidRPr="00766B78">
        <w:rPr>
          <w:rFonts w:ascii="Arial" w:hAnsi="Arial" w:cs="Arial"/>
          <w:sz w:val="24"/>
          <w:szCs w:val="24"/>
        </w:rPr>
        <w:t>MetS</w:t>
      </w:r>
      <w:proofErr w:type="spellEnd"/>
      <w:r w:rsidRPr="00766B78">
        <w:rPr>
          <w:rFonts w:ascii="Arial" w:hAnsi="Arial" w:cs="Arial"/>
          <w:sz w:val="24"/>
          <w:szCs w:val="24"/>
        </w:rPr>
        <w:t xml:space="preserve"> was defined using the harmonized international criteria requiring presence of ≥3 of the following five components (9): (1) waist circumference ≥90 cm (males) or ≥85 cm (females); (2) triglycerides ≥150 mg/dL or medication; (3) HDL cholesterol &lt;40 mg/dL (males) or &lt;50 mg/dL (females) or medication; (4) blood pressure ≥130/85 mmHg or medication; and (5) fasting glucose ≥100 mg/dL or medication.</w:t>
      </w:r>
    </w:p>
    <w:p w14:paraId="139F668E" w14:textId="77777777" w:rsidR="009B6D8F" w:rsidRPr="00766B78" w:rsidRDefault="00000000" w:rsidP="000E6FD4">
      <w:pPr>
        <w:jc w:val="both"/>
        <w:rPr>
          <w:rFonts w:ascii="Arial" w:hAnsi="Arial" w:cs="Arial"/>
          <w:b/>
          <w:bCs/>
          <w:i/>
          <w:iCs/>
          <w:sz w:val="24"/>
          <w:szCs w:val="24"/>
        </w:rPr>
      </w:pPr>
      <w:r w:rsidRPr="00766B78">
        <w:rPr>
          <w:rFonts w:ascii="Arial" w:hAnsi="Arial" w:cs="Arial"/>
          <w:b/>
          <w:bCs/>
          <w:i/>
          <w:iCs/>
          <w:sz w:val="24"/>
          <w:szCs w:val="24"/>
        </w:rPr>
        <w:lastRenderedPageBreak/>
        <w:t>Dietary Assessment and Food Group Classification</w:t>
      </w:r>
    </w:p>
    <w:p w14:paraId="1A998D18" w14:textId="77777777" w:rsidR="00766B78" w:rsidRPr="00766B78" w:rsidRDefault="00766B78" w:rsidP="00766B78">
      <w:pPr>
        <w:jc w:val="both"/>
        <w:rPr>
          <w:rFonts w:ascii="Arial" w:hAnsi="Arial" w:cs="Arial"/>
          <w:sz w:val="24"/>
          <w:szCs w:val="24"/>
        </w:rPr>
      </w:pPr>
      <w:r w:rsidRPr="00766B78">
        <w:rPr>
          <w:rFonts w:ascii="Arial" w:hAnsi="Arial" w:cs="Arial"/>
          <w:sz w:val="24"/>
          <w:szCs w:val="24"/>
        </w:rPr>
        <w:t>Dietary intake was assessed using a validated semi-quantitative food frequency questionnaire (FFQ) specifically developed for Korean dietary patterns (Supplementary Figure S1). The FFQ captured usual consumption frequency of 19 food items over the preceding 12 months. Validation studies demonstrated acceptable reproducibility (intraclass correlation coefficients: 0.54-0.78) and reasonable validity against multiple 24-hour dietary recalls (Spearman correlation coefficients: 0.42-0.67) for major food groups (26).</w:t>
      </w:r>
    </w:p>
    <w:p w14:paraId="0FC68F50" w14:textId="77777777" w:rsidR="00766B78" w:rsidRPr="00766B78" w:rsidRDefault="00766B78" w:rsidP="00766B78">
      <w:pPr>
        <w:jc w:val="both"/>
        <w:rPr>
          <w:rFonts w:ascii="Arial" w:hAnsi="Arial" w:cs="Arial"/>
          <w:sz w:val="24"/>
          <w:szCs w:val="24"/>
        </w:rPr>
      </w:pPr>
      <w:r w:rsidRPr="00766B78">
        <w:rPr>
          <w:rFonts w:ascii="Arial" w:hAnsi="Arial" w:cs="Arial"/>
          <w:sz w:val="24"/>
          <w:szCs w:val="24"/>
        </w:rPr>
        <w:t>Foods were aggregated into 12 mutually exclusive groups based on nutritional composition and Korean dietary pattern characteristics: (1) grain products (rice, bread, noodles, cereals); (2) protein foods (meat, fish, eggs, legumes, tofu); (3) vegetables (excluding kimchi and pickled vegetables); (4) dairy products (milk, yogurt, cheese); (5) fruits; (6) fried foods (fried chicken, French fries, tempura, pan-fried dishes); (7) high-fat meat (fatty pork belly, beef ribs, processed meats); (8) processed foods (instant noodles, frozen meals, canned foods, packaged snacks); (9) sugar-sweetened beverages (sodas, fruit drinks, sweetened coffee); (10) sweet foods (cakes, cookies, candies, ice cream); (11) added salt use (adding salt at the table); (12) salty foods (kimchi, pickled vegetables, salted fish, fermented sauces).</w:t>
      </w:r>
    </w:p>
    <w:p w14:paraId="4F74AF60" w14:textId="77777777" w:rsidR="00766B78" w:rsidRPr="00766B78" w:rsidRDefault="00766B78" w:rsidP="00766B78">
      <w:pPr>
        <w:jc w:val="both"/>
        <w:rPr>
          <w:rFonts w:ascii="Arial" w:hAnsi="Arial" w:cs="Arial"/>
          <w:sz w:val="24"/>
          <w:szCs w:val="24"/>
        </w:rPr>
      </w:pPr>
      <w:r w:rsidRPr="00766B78">
        <w:rPr>
          <w:rFonts w:ascii="Arial" w:hAnsi="Arial" w:cs="Arial"/>
          <w:sz w:val="24"/>
          <w:szCs w:val="24"/>
        </w:rPr>
        <w:t>Each food group was scored on 3-point or 4-point ordinal scales based on consumption frequency, with higher scores indicating more frequent consumption (Supplementary Table S2). The scoring system was designed to capture dietary pattern variability rather than absolute nutrient intake, consistent with GGM objectives focused on food-food conditional dependencies (12, 13).</w:t>
      </w:r>
    </w:p>
    <w:p w14:paraId="35407867" w14:textId="77777777" w:rsidR="009B6D8F" w:rsidRPr="00766B78" w:rsidRDefault="00000000" w:rsidP="000E6FD4">
      <w:pPr>
        <w:jc w:val="both"/>
        <w:rPr>
          <w:rFonts w:ascii="Arial" w:hAnsi="Arial" w:cs="Arial"/>
          <w:b/>
          <w:bCs/>
          <w:i/>
          <w:iCs/>
          <w:sz w:val="24"/>
          <w:szCs w:val="24"/>
        </w:rPr>
      </w:pPr>
      <w:r w:rsidRPr="00766B78">
        <w:rPr>
          <w:rFonts w:ascii="Arial" w:hAnsi="Arial" w:cs="Arial"/>
          <w:b/>
          <w:bCs/>
          <w:i/>
          <w:iCs/>
          <w:sz w:val="24"/>
          <w:szCs w:val="24"/>
        </w:rPr>
        <w:t>Gaussian Graphical Model Construction</w:t>
      </w:r>
    </w:p>
    <w:p w14:paraId="23D9DCB6" w14:textId="562B738D" w:rsidR="009B6D8F" w:rsidRPr="00766B78" w:rsidRDefault="00000000" w:rsidP="000E6FD4">
      <w:pPr>
        <w:jc w:val="both"/>
        <w:rPr>
          <w:rFonts w:ascii="Arial" w:hAnsi="Arial" w:cs="Arial"/>
          <w:sz w:val="24"/>
          <w:szCs w:val="24"/>
        </w:rPr>
      </w:pPr>
      <w:r w:rsidRPr="00766B78">
        <w:rPr>
          <w:rFonts w:ascii="Arial" w:hAnsi="Arial" w:cs="Arial"/>
          <w:sz w:val="24"/>
          <w:szCs w:val="24"/>
        </w:rPr>
        <w:t>For each of the 11 subgroups, we constructed dietary networks using Gaussian copula graphical models to estimate conditional dependencies via partial correlations. The analytical pipeline consisted of four sequential steps</w:t>
      </w:r>
      <w:r w:rsidR="00B04C24" w:rsidRPr="00766B78">
        <w:rPr>
          <w:rFonts w:ascii="Arial" w:hAnsi="Arial" w:cs="Arial"/>
          <w:sz w:val="24"/>
          <w:szCs w:val="24"/>
        </w:rPr>
        <w:t>. First, in n</w:t>
      </w:r>
      <w:r w:rsidRPr="00766B78">
        <w:rPr>
          <w:rFonts w:ascii="Arial" w:hAnsi="Arial" w:cs="Arial"/>
          <w:sz w:val="24"/>
          <w:szCs w:val="24"/>
        </w:rPr>
        <w:t>onparanormal SKEPTIC Transformation</w:t>
      </w:r>
      <w:r w:rsidR="00B04C24" w:rsidRPr="00766B78">
        <w:rPr>
          <w:rFonts w:ascii="Arial" w:hAnsi="Arial" w:cs="Arial"/>
          <w:sz w:val="24"/>
          <w:szCs w:val="24"/>
        </w:rPr>
        <w:t xml:space="preserve"> step, t</w:t>
      </w:r>
      <w:r w:rsidRPr="00766B78">
        <w:rPr>
          <w:rFonts w:ascii="Arial" w:hAnsi="Arial" w:cs="Arial"/>
          <w:sz w:val="24"/>
          <w:szCs w:val="24"/>
        </w:rPr>
        <w:t>o accommodate non-Gaussian distributions typical of dietary frequency data, we applied the Nonparanormal SKEPTIC transformation (11). Observations within each food group were ranked, empirical cumulative distribution functions computed with Winsorization, and Gaussian quantile transformation applied:</w:t>
      </w:r>
    </w:p>
    <w:p w14:paraId="77F503B6" w14:textId="76F8763E" w:rsidR="009B6D8F" w:rsidRPr="00766B78" w:rsidRDefault="00000000" w:rsidP="000E6FD4">
      <w:pPr>
        <w:jc w:val="both"/>
        <w:rPr>
          <w:rFonts w:ascii="Cambria Math" w:hAnsi="Cambria Math" w:cs="Arial"/>
          <w:sz w:val="24"/>
          <w:szCs w:val="24"/>
          <w:oMath/>
        </w:rPr>
      </w:pPr>
      <m:oMathPara>
        <m:oMath>
          <m:acc>
            <m:accPr>
              <m:ctrlPr>
                <w:rPr>
                  <w:rFonts w:ascii="Cambria Math" w:hAnsi="Cambria Math" w:cs="Arial"/>
                  <w:sz w:val="24"/>
                  <w:szCs w:val="24"/>
                </w:rPr>
              </m:ctrlPr>
            </m:accPr>
            <m:e>
              <m:r>
                <w:rPr>
                  <w:rFonts w:ascii="Cambria Math" w:hAnsi="Cambria Math" w:cs="Arial"/>
                  <w:sz w:val="24"/>
                  <w:szCs w:val="24"/>
                </w:rPr>
                <m:t>F</m:t>
              </m:r>
            </m:e>
          </m:acc>
          <m:d>
            <m:dPr>
              <m:ctrlPr>
                <w:rPr>
                  <w:rFonts w:ascii="Cambria Math" w:hAnsi="Cambria Math" w:cs="Arial"/>
                  <w:i/>
                  <w:sz w:val="24"/>
                  <w:szCs w:val="24"/>
                </w:rPr>
              </m:ctrlPr>
            </m:dPr>
            <m:e>
              <m:r>
                <w:rPr>
                  <w:rFonts w:ascii="Cambria Math" w:hAnsi="Cambria Math" w:cs="Arial"/>
                  <w:sz w:val="24"/>
                  <w:szCs w:val="24"/>
                </w:rPr>
                <m:t>x</m:t>
              </m:r>
            </m:e>
          </m:d>
          <m:r>
            <w:rPr>
              <w:rFonts w:ascii="Cambria Math" w:hAnsi="Cambria Math" w:cs="Arial"/>
              <w:sz w:val="24"/>
              <w:szCs w:val="24"/>
            </w:rPr>
            <m:t>=</m:t>
          </m:r>
          <m:f>
            <m:fPr>
              <m:ctrlPr>
                <w:rPr>
                  <w:rFonts w:ascii="Cambria Math" w:hAnsi="Cambria Math" w:cs="Arial"/>
                  <w:sz w:val="24"/>
                  <w:szCs w:val="24"/>
                </w:rPr>
              </m:ctrlPr>
            </m:fPr>
            <m:num>
              <m:r>
                <m:rPr>
                  <m:nor/>
                </m:rPr>
                <w:rPr>
                  <w:rFonts w:ascii="Arial" w:hAnsi="Arial" w:cs="Arial"/>
                  <w:sz w:val="24"/>
                  <w:szCs w:val="24"/>
                </w:rPr>
                <m:t>rank</m:t>
              </m:r>
              <m:d>
                <m:dPr>
                  <m:ctrlPr>
                    <w:rPr>
                      <w:rFonts w:ascii="Cambria Math" w:hAnsi="Cambria Math" w:cs="Arial"/>
                      <w:i/>
                      <w:sz w:val="24"/>
                      <w:szCs w:val="24"/>
                    </w:rPr>
                  </m:ctrlPr>
                </m:dPr>
                <m:e>
                  <m:r>
                    <w:rPr>
                      <w:rFonts w:ascii="Cambria Math" w:hAnsi="Cambria Math" w:cs="Arial"/>
                      <w:sz w:val="24"/>
                      <w:szCs w:val="24"/>
                    </w:rPr>
                    <m:t>x</m:t>
                  </m:r>
                </m:e>
              </m:d>
              <m:r>
                <w:rPr>
                  <w:rFonts w:ascii="Cambria Math" w:hAnsi="Cambria Math" w:cs="Arial"/>
                  <w:sz w:val="24"/>
                  <w:szCs w:val="24"/>
                </w:rPr>
                <m:t>-0.5</m:t>
              </m:r>
              <m:ctrlPr>
                <w:rPr>
                  <w:rFonts w:ascii="Cambria Math" w:hAnsi="Cambria Math" w:cs="Arial"/>
                  <w:i/>
                  <w:sz w:val="24"/>
                  <w:szCs w:val="24"/>
                </w:rPr>
              </m:ctrlPr>
            </m:num>
            <m:den>
              <m:r>
                <w:rPr>
                  <w:rFonts w:ascii="Cambria Math" w:hAnsi="Cambria Math" w:cs="Arial"/>
                  <w:sz w:val="24"/>
                  <w:szCs w:val="24"/>
                </w:rPr>
                <m:t>n</m:t>
              </m:r>
              <m:ctrlPr>
                <w:rPr>
                  <w:rFonts w:ascii="Cambria Math" w:hAnsi="Cambria Math" w:cs="Arial"/>
                  <w:i/>
                  <w:sz w:val="24"/>
                  <w:szCs w:val="24"/>
                </w:rPr>
              </m:ctrlPr>
            </m:den>
          </m:f>
        </m:oMath>
      </m:oMathPara>
    </w:p>
    <w:p w14:paraId="0D9C55E8" w14:textId="72BDF939" w:rsidR="009B6D8F" w:rsidRPr="00766B78" w:rsidRDefault="000E6FD4" w:rsidP="000E6FD4">
      <w:pPr>
        <w:jc w:val="both"/>
        <w:rPr>
          <w:rFonts w:ascii="Arial" w:hAnsi="Arial" w:cs="Arial"/>
          <w:sz w:val="24"/>
          <w:szCs w:val="24"/>
        </w:rPr>
      </w:pPr>
      <m:oMathPara>
        <m:oMath>
          <m:r>
            <w:rPr>
              <w:rFonts w:ascii="Cambria Math" w:hAnsi="Cambria Math" w:cs="Arial"/>
              <w:sz w:val="24"/>
              <w:szCs w:val="24"/>
            </w:rPr>
            <m:t>Z=</m:t>
          </m:r>
          <m:sSup>
            <m:sSupPr>
              <m:ctrlPr>
                <w:rPr>
                  <w:rFonts w:ascii="Cambria Math" w:hAnsi="Cambria Math" w:cs="Arial"/>
                  <w:i/>
                  <w:sz w:val="24"/>
                  <w:szCs w:val="24"/>
                </w:rPr>
              </m:ctrlPr>
            </m:sSupPr>
            <m:e>
              <m:r>
                <m:rPr>
                  <m:sty m:val="p"/>
                </m:rPr>
                <w:rPr>
                  <w:rFonts w:ascii="Cambria Math" w:hAnsi="Cambria Math" w:cs="Arial"/>
                  <w:sz w:val="24"/>
                  <w:szCs w:val="24"/>
                </w:rPr>
                <m:t>Φ</m:t>
              </m:r>
            </m:e>
            <m:sup>
              <m:r>
                <w:rPr>
                  <w:rFonts w:ascii="Cambria Math" w:hAnsi="Cambria Math" w:cs="Arial"/>
                  <w:sz w:val="24"/>
                  <w:szCs w:val="24"/>
                </w:rPr>
                <m:t>-1</m:t>
              </m:r>
            </m:sup>
          </m:sSup>
          <m:d>
            <m:dPr>
              <m:ctrlPr>
                <w:rPr>
                  <w:rFonts w:ascii="Cambria Math" w:hAnsi="Cambria Math" w:cs="Arial"/>
                  <w:i/>
                  <w:sz w:val="24"/>
                  <w:szCs w:val="24"/>
                </w:rPr>
              </m:ctrlPr>
            </m:dPr>
            <m:e>
              <m:acc>
                <m:accPr>
                  <m:ctrlPr>
                    <w:rPr>
                      <w:rFonts w:ascii="Cambria Math" w:hAnsi="Cambria Math" w:cs="Arial"/>
                      <w:sz w:val="24"/>
                      <w:szCs w:val="24"/>
                    </w:rPr>
                  </m:ctrlPr>
                </m:accPr>
                <m:e>
                  <m:r>
                    <w:rPr>
                      <w:rFonts w:ascii="Cambria Math" w:hAnsi="Cambria Math" w:cs="Arial"/>
                      <w:sz w:val="24"/>
                      <w:szCs w:val="24"/>
                    </w:rPr>
                    <m:t>F</m:t>
                  </m:r>
                </m:e>
              </m:acc>
              <m:d>
                <m:dPr>
                  <m:ctrlPr>
                    <w:rPr>
                      <w:rFonts w:ascii="Cambria Math" w:hAnsi="Cambria Math" w:cs="Arial"/>
                      <w:i/>
                      <w:sz w:val="24"/>
                      <w:szCs w:val="24"/>
                    </w:rPr>
                  </m:ctrlPr>
                </m:dPr>
                <m:e>
                  <m:r>
                    <w:rPr>
                      <w:rFonts w:ascii="Cambria Math" w:hAnsi="Cambria Math" w:cs="Arial"/>
                      <w:sz w:val="24"/>
                      <w:szCs w:val="24"/>
                    </w:rPr>
                    <m:t>x</m:t>
                  </m:r>
                </m:e>
              </m:d>
            </m:e>
          </m:d>
        </m:oMath>
      </m:oMathPara>
    </w:p>
    <w:p w14:paraId="41985144"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lastRenderedPageBreak/>
        <w:t>where Φ denotes the inverse standard normal cumulative distribution function and n is sample size.</w:t>
      </w:r>
    </w:p>
    <w:p w14:paraId="3F361A21" w14:textId="4905A0F5" w:rsidR="009B6D8F" w:rsidRPr="00766B78" w:rsidRDefault="00B04C24" w:rsidP="000E6FD4">
      <w:pPr>
        <w:jc w:val="both"/>
        <w:rPr>
          <w:rFonts w:ascii="Arial" w:hAnsi="Arial" w:cs="Arial"/>
          <w:sz w:val="24"/>
          <w:szCs w:val="24"/>
        </w:rPr>
      </w:pPr>
      <w:r w:rsidRPr="00766B78">
        <w:rPr>
          <w:rFonts w:ascii="Arial" w:hAnsi="Arial" w:cs="Arial"/>
          <w:sz w:val="24"/>
          <w:szCs w:val="24"/>
        </w:rPr>
        <w:t>Second step is Graphical Lasso with L</w:t>
      </w:r>
      <w:r w:rsidRPr="00766B78">
        <w:rPr>
          <w:rFonts w:ascii="Cambria Math" w:hAnsi="Cambria Math" w:cs="Cambria Math"/>
          <w:sz w:val="24"/>
          <w:szCs w:val="24"/>
        </w:rPr>
        <w:t>₁</w:t>
      </w:r>
      <w:r w:rsidRPr="00766B78">
        <w:rPr>
          <w:rFonts w:ascii="Arial" w:hAnsi="Arial" w:cs="Arial"/>
          <w:sz w:val="24"/>
          <w:szCs w:val="24"/>
        </w:rPr>
        <w:t xml:space="preserve"> Penalization. We estimated sparse precision matrices (Θ, the inverse covariance matrix) via L</w:t>
      </w:r>
      <w:r w:rsidRPr="00766B78">
        <w:rPr>
          <w:rFonts w:ascii="Cambria Math" w:hAnsi="Cambria Math" w:cs="Cambria Math"/>
          <w:sz w:val="24"/>
          <w:szCs w:val="24"/>
        </w:rPr>
        <w:t>₁</w:t>
      </w:r>
      <w:r w:rsidRPr="00766B78">
        <w:rPr>
          <w:rFonts w:ascii="Arial" w:hAnsi="Arial" w:cs="Arial"/>
          <w:sz w:val="24"/>
          <w:szCs w:val="24"/>
        </w:rPr>
        <w:t>-penalized maximum likelihood, solving the optimization problem (12):</w:t>
      </w:r>
    </w:p>
    <w:p w14:paraId="1995331D" w14:textId="67D5DE51" w:rsidR="009B6D8F" w:rsidRPr="00766B78" w:rsidRDefault="00000000" w:rsidP="000E6FD4">
      <w:pPr>
        <w:jc w:val="both"/>
        <w:rPr>
          <w:rFonts w:ascii="Arial" w:hAnsi="Arial" w:cs="Arial"/>
          <w:sz w:val="24"/>
          <w:szCs w:val="24"/>
        </w:rPr>
      </w:pPr>
      <m:oMathPara>
        <m:oMath>
          <m:func>
            <m:funcPr>
              <m:ctrlPr>
                <w:rPr>
                  <w:rFonts w:ascii="Cambria Math" w:hAnsi="Cambria Math" w:cs="Arial"/>
                  <w:sz w:val="24"/>
                  <w:szCs w:val="24"/>
                </w:rPr>
              </m:ctrlPr>
            </m:funcPr>
            <m:fName>
              <m:limLow>
                <m:limLowPr>
                  <m:ctrlPr>
                    <w:rPr>
                      <w:rFonts w:ascii="Cambria Math" w:hAnsi="Cambria Math" w:cs="Arial"/>
                      <w:i/>
                      <w:sz w:val="24"/>
                      <w:szCs w:val="24"/>
                    </w:rPr>
                  </m:ctrlPr>
                </m:limLowPr>
                <m:e>
                  <m:r>
                    <m:rPr>
                      <m:sty m:val="p"/>
                    </m:rPr>
                    <w:rPr>
                      <w:rFonts w:ascii="Cambria Math" w:hAnsi="Cambria Math" w:cs="Arial"/>
                      <w:sz w:val="24"/>
                      <w:szCs w:val="24"/>
                    </w:rPr>
                    <m:t>min</m:t>
                  </m:r>
                </m:e>
                <m:lim>
                  <m:r>
                    <m:rPr>
                      <m:sty m:val="p"/>
                    </m:rPr>
                    <w:rPr>
                      <w:rFonts w:ascii="Cambria Math" w:hAnsi="Cambria Math" w:cs="Arial"/>
                      <w:sz w:val="24"/>
                      <w:szCs w:val="24"/>
                    </w:rPr>
                    <m:t>Θ</m:t>
                  </m:r>
                  <m:ctrlPr>
                    <w:rPr>
                      <w:rFonts w:ascii="Cambria Math" w:hAnsi="Cambria Math" w:cs="Arial"/>
                      <w:sz w:val="24"/>
                      <w:szCs w:val="24"/>
                    </w:rPr>
                  </m:ctrlPr>
                </m:lim>
              </m:limLow>
              <m:ctrlPr>
                <w:rPr>
                  <w:rFonts w:ascii="Cambria Math" w:hAnsi="Cambria Math" w:cs="Arial"/>
                  <w:i/>
                  <w:sz w:val="24"/>
                  <w:szCs w:val="24"/>
                </w:rPr>
              </m:ctrlPr>
            </m:fName>
            <m:e>
              <m:d>
                <m:dPr>
                  <m:begChr m:val="{"/>
                  <m:endChr m:val="}"/>
                  <m:ctrlPr>
                    <w:rPr>
                      <w:rFonts w:ascii="Cambria Math" w:hAnsi="Cambria Math" w:cs="Arial"/>
                      <w:sz w:val="24"/>
                      <w:szCs w:val="24"/>
                    </w:rPr>
                  </m:ctrlPr>
                </m:dPr>
                <m:e>
                  <m:r>
                    <w:rPr>
                      <w:rFonts w:ascii="Cambria Math" w:hAnsi="Cambria Math" w:cs="Arial"/>
                      <w:sz w:val="24"/>
                      <w:szCs w:val="24"/>
                    </w:rPr>
                    <m:t>-</m:t>
                  </m:r>
                  <m:func>
                    <m:funcPr>
                      <m:ctrlPr>
                        <w:rPr>
                          <w:rFonts w:ascii="Cambria Math" w:hAnsi="Cambria Math" w:cs="Arial"/>
                          <w:sz w:val="24"/>
                          <w:szCs w:val="24"/>
                        </w:rPr>
                      </m:ctrlPr>
                    </m:funcPr>
                    <m:fName>
                      <m:r>
                        <m:rPr>
                          <m:sty m:val="p"/>
                        </m:rPr>
                        <w:rPr>
                          <w:rFonts w:ascii="Cambria Math" w:hAnsi="Cambria Math" w:cs="Arial"/>
                          <w:sz w:val="24"/>
                          <w:szCs w:val="24"/>
                        </w:rPr>
                        <m:t>log</m:t>
                      </m:r>
                      <m:ctrlPr>
                        <w:rPr>
                          <w:rFonts w:ascii="Cambria Math" w:hAnsi="Cambria Math" w:cs="Arial"/>
                          <w:i/>
                          <w:sz w:val="24"/>
                          <w:szCs w:val="24"/>
                        </w:rPr>
                      </m:ctrlPr>
                    </m:fName>
                    <m:e>
                      <m:func>
                        <m:funcPr>
                          <m:ctrlPr>
                            <w:rPr>
                              <w:rFonts w:ascii="Cambria Math" w:hAnsi="Cambria Math" w:cs="Arial"/>
                              <w:sz w:val="24"/>
                              <w:szCs w:val="24"/>
                            </w:rPr>
                          </m:ctrlPr>
                        </m:funcPr>
                        <m:fName>
                          <m:r>
                            <m:rPr>
                              <m:sty m:val="p"/>
                            </m:rPr>
                            <w:rPr>
                              <w:rFonts w:ascii="Cambria Math" w:hAnsi="Cambria Math" w:cs="Arial"/>
                              <w:sz w:val="24"/>
                              <w:szCs w:val="24"/>
                            </w:rPr>
                            <m:t>det</m:t>
                          </m:r>
                        </m:fName>
                        <m:e>
                          <m:d>
                            <m:dPr>
                              <m:ctrlPr>
                                <w:rPr>
                                  <w:rFonts w:ascii="Cambria Math" w:hAnsi="Cambria Math" w:cs="Arial"/>
                                  <w:i/>
                                  <w:sz w:val="24"/>
                                  <w:szCs w:val="24"/>
                                </w:rPr>
                              </m:ctrlPr>
                            </m:dPr>
                            <m:e>
                              <m:r>
                                <m:rPr>
                                  <m:sty m:val="p"/>
                                </m:rPr>
                                <w:rPr>
                                  <w:rFonts w:ascii="Cambria Math" w:hAnsi="Cambria Math" w:cs="Arial"/>
                                  <w:sz w:val="24"/>
                                  <w:szCs w:val="24"/>
                                </w:rPr>
                                <m:t>Θ</m:t>
                              </m:r>
                            </m:e>
                          </m:d>
                        </m:e>
                      </m:func>
                    </m:e>
                  </m:func>
                  <m:r>
                    <w:rPr>
                      <w:rFonts w:ascii="Cambria Math" w:hAnsi="Cambria Math" w:cs="Arial"/>
                      <w:sz w:val="24"/>
                      <w:szCs w:val="24"/>
                    </w:rPr>
                    <m:t>+</m:t>
                  </m:r>
                  <m:r>
                    <m:rPr>
                      <m:nor/>
                    </m:rPr>
                    <w:rPr>
                      <w:rFonts w:ascii="Arial" w:hAnsi="Arial" w:cs="Arial"/>
                      <w:sz w:val="24"/>
                      <w:szCs w:val="24"/>
                    </w:rPr>
                    <m:t>tr</m:t>
                  </m:r>
                  <m:d>
                    <m:dPr>
                      <m:ctrlPr>
                        <w:rPr>
                          <w:rFonts w:ascii="Cambria Math" w:hAnsi="Cambria Math" w:cs="Arial"/>
                          <w:i/>
                          <w:sz w:val="24"/>
                          <w:szCs w:val="24"/>
                        </w:rPr>
                      </m:ctrlPr>
                    </m:dPr>
                    <m:e>
                      <m:r>
                        <w:rPr>
                          <w:rFonts w:ascii="Cambria Math" w:hAnsi="Cambria Math" w:cs="Arial"/>
                          <w:sz w:val="24"/>
                          <w:szCs w:val="24"/>
                        </w:rPr>
                        <m:t>S</m:t>
                      </m:r>
                      <m:r>
                        <m:rPr>
                          <m:sty m:val="p"/>
                        </m:rPr>
                        <w:rPr>
                          <w:rFonts w:ascii="Cambria Math" w:hAnsi="Cambria Math" w:cs="Arial"/>
                          <w:sz w:val="24"/>
                          <w:szCs w:val="24"/>
                        </w:rPr>
                        <m:t>Θ</m:t>
                      </m:r>
                    </m:e>
                  </m:d>
                  <m:r>
                    <w:rPr>
                      <w:rFonts w:ascii="Cambria Math" w:hAnsi="Cambria Math" w:cs="Arial"/>
                      <w:sz w:val="24"/>
                      <w:szCs w:val="24"/>
                    </w:rPr>
                    <m:t>+</m:t>
                  </m:r>
                  <m:r>
                    <m:rPr>
                      <m:sty m:val="p"/>
                    </m:rPr>
                    <w:rPr>
                      <w:rFonts w:ascii="Cambria Math" w:hAnsi="Cambria Math" w:cs="Arial"/>
                      <w:sz w:val="24"/>
                      <w:szCs w:val="24"/>
                    </w:rPr>
                    <m:t>λ</m:t>
                  </m:r>
                  <m:r>
                    <m:rPr>
                      <m:lit/>
                    </m:rPr>
                    <w:rPr>
                      <w:rFonts w:ascii="Cambria Math" w:hAnsi="Cambria Math" w:cs="Arial"/>
                      <w:sz w:val="24"/>
                      <w:szCs w:val="24"/>
                    </w:rPr>
                    <m:t>|</m:t>
                  </m:r>
                  <m:r>
                    <m:rPr>
                      <m:sty m:val="p"/>
                    </m:rPr>
                    <w:rPr>
                      <w:rFonts w:ascii="Cambria Math" w:hAnsi="Cambria Math" w:cs="Arial"/>
                      <w:sz w:val="24"/>
                      <w:szCs w:val="24"/>
                    </w:rPr>
                    <m:t>Θ</m:t>
                  </m:r>
                  <m:sSub>
                    <m:sSubPr>
                      <m:ctrlPr>
                        <w:rPr>
                          <w:rFonts w:ascii="Cambria Math" w:hAnsi="Cambria Math" w:cs="Arial"/>
                          <w:i/>
                          <w:sz w:val="24"/>
                          <w:szCs w:val="24"/>
                        </w:rPr>
                      </m:ctrlPr>
                    </m:sSubPr>
                    <m:e>
                      <m:r>
                        <m:rPr>
                          <m:lit/>
                        </m:rPr>
                        <w:rPr>
                          <w:rFonts w:ascii="Cambria Math" w:hAnsi="Cambria Math" w:cs="Arial"/>
                          <w:sz w:val="24"/>
                          <w:szCs w:val="24"/>
                        </w:rPr>
                        <m:t>|</m:t>
                      </m:r>
                    </m:e>
                    <m:sub>
                      <m:r>
                        <w:rPr>
                          <w:rFonts w:ascii="Cambria Math" w:hAnsi="Cambria Math" w:cs="Arial"/>
                          <w:sz w:val="24"/>
                          <w:szCs w:val="24"/>
                        </w:rPr>
                        <m:t>1</m:t>
                      </m:r>
                    </m:sub>
                  </m:sSub>
                  <m:ctrlPr>
                    <w:rPr>
                      <w:rFonts w:ascii="Cambria Math" w:hAnsi="Cambria Math" w:cs="Arial"/>
                      <w:i/>
                      <w:sz w:val="24"/>
                      <w:szCs w:val="24"/>
                    </w:rPr>
                  </m:ctrlPr>
                </m:e>
              </m:d>
              <m:ctrlPr>
                <w:rPr>
                  <w:rFonts w:ascii="Cambria Math" w:hAnsi="Cambria Math" w:cs="Arial"/>
                  <w:i/>
                  <w:sz w:val="24"/>
                  <w:szCs w:val="24"/>
                </w:rPr>
              </m:ctrlPr>
            </m:e>
          </m:func>
        </m:oMath>
      </m:oMathPara>
    </w:p>
    <w:p w14:paraId="0BD6B22F"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where S represents the empirical correlation matrix, λ is the regularization parameter controlling network sparsity, and ||Θ||</w:t>
      </w:r>
      <w:r w:rsidRPr="00766B78">
        <w:rPr>
          <w:rFonts w:ascii="Cambria Math" w:hAnsi="Cambria Math" w:cs="Cambria Math"/>
          <w:sz w:val="24"/>
          <w:szCs w:val="24"/>
        </w:rPr>
        <w:t>₁</w:t>
      </w:r>
      <w:r w:rsidRPr="00766B78">
        <w:rPr>
          <w:rFonts w:ascii="Arial" w:hAnsi="Arial" w:cs="Arial"/>
          <w:sz w:val="24"/>
          <w:szCs w:val="24"/>
        </w:rPr>
        <w:t xml:space="preserve"> denotes the L</w:t>
      </w:r>
      <w:r w:rsidRPr="00766B78">
        <w:rPr>
          <w:rFonts w:ascii="Cambria Math" w:hAnsi="Cambria Math" w:cs="Cambria Math"/>
          <w:sz w:val="24"/>
          <w:szCs w:val="24"/>
        </w:rPr>
        <w:t>₁</w:t>
      </w:r>
      <w:r w:rsidRPr="00766B78">
        <w:rPr>
          <w:rFonts w:ascii="Arial" w:hAnsi="Arial" w:cs="Arial"/>
          <w:sz w:val="24"/>
          <w:szCs w:val="24"/>
        </w:rPr>
        <w:t xml:space="preserve"> norm (sum of absolute values of off-diagonal elements).</w:t>
      </w:r>
    </w:p>
    <w:p w14:paraId="7C8043BE" w14:textId="7394147C" w:rsidR="009B6D8F" w:rsidRPr="00766B78" w:rsidRDefault="00B04C24" w:rsidP="000E6FD4">
      <w:pPr>
        <w:jc w:val="both"/>
        <w:rPr>
          <w:rFonts w:ascii="Arial" w:hAnsi="Arial" w:cs="Arial"/>
          <w:sz w:val="24"/>
          <w:szCs w:val="24"/>
        </w:rPr>
      </w:pPr>
      <w:r w:rsidRPr="00766B78">
        <w:rPr>
          <w:rFonts w:ascii="Arial" w:hAnsi="Arial" w:cs="Arial"/>
          <w:sz w:val="24"/>
          <w:szCs w:val="24"/>
        </w:rPr>
        <w:t>Third, for Cross-Validation for Regularization Parameter Selection, for each subgroup, we selected the optimal λ via 5-fold cross-validation with held-out log-likelihood evaluation:</w:t>
      </w:r>
    </w:p>
    <w:p w14:paraId="5FB3C702" w14:textId="072F28FA" w:rsidR="009B6D8F" w:rsidRPr="00766B78" w:rsidRDefault="00000000" w:rsidP="000E6FD4">
      <w:pPr>
        <w:jc w:val="both"/>
        <w:rPr>
          <w:rFonts w:ascii="Arial" w:hAnsi="Arial" w:cs="Arial"/>
          <w:sz w:val="24"/>
          <w:szCs w:val="24"/>
        </w:rPr>
      </w:pPr>
      <m:oMathPara>
        <m:oMath>
          <m:func>
            <m:funcPr>
              <m:ctrlPr>
                <w:rPr>
                  <w:rFonts w:ascii="Cambria Math" w:hAnsi="Cambria Math" w:cs="Arial"/>
                  <w:sz w:val="24"/>
                  <w:szCs w:val="24"/>
                </w:rPr>
              </m:ctrlPr>
            </m:funcPr>
            <m:fName>
              <m:r>
                <m:rPr>
                  <m:sty m:val="p"/>
                </m:rPr>
                <w:rPr>
                  <w:rFonts w:ascii="Cambria Math" w:hAnsi="Cambria Math" w:cs="Arial"/>
                  <w:sz w:val="24"/>
                  <w:szCs w:val="24"/>
                </w:rPr>
                <m:t>log</m:t>
              </m:r>
              <m:ctrlPr>
                <w:rPr>
                  <w:rFonts w:ascii="Cambria Math" w:hAnsi="Cambria Math" w:cs="Arial"/>
                  <w:i/>
                  <w:sz w:val="24"/>
                  <w:szCs w:val="24"/>
                </w:rPr>
              </m:ctrlPr>
            </m:fName>
            <m:e>
              <m:r>
                <m:rPr>
                  <m:scr m:val="script"/>
                </m:rPr>
                <w:rPr>
                  <w:rFonts w:ascii="Cambria Math" w:hAnsi="Cambria Math" w:cs="Arial"/>
                  <w:sz w:val="24"/>
                  <w:szCs w:val="24"/>
                </w:rPr>
                <m:t>L</m:t>
              </m:r>
            </m:e>
          </m:func>
          <m:d>
            <m:dPr>
              <m:ctrlPr>
                <w:rPr>
                  <w:rFonts w:ascii="Cambria Math" w:hAnsi="Cambria Math" w:cs="Arial"/>
                  <w:i/>
                  <w:sz w:val="24"/>
                  <w:szCs w:val="24"/>
                </w:rPr>
              </m:ctrlPr>
            </m:dPr>
            <m:e>
              <m:r>
                <m:rPr>
                  <m:sty m:val="p"/>
                </m:rPr>
                <w:rPr>
                  <w:rFonts w:ascii="Cambria Math" w:hAnsi="Cambria Math" w:cs="Arial"/>
                  <w:sz w:val="24"/>
                  <w:szCs w:val="24"/>
                </w:rPr>
                <m:t>Θ</m:t>
              </m:r>
            </m:e>
          </m:d>
          <m:r>
            <w:rPr>
              <w:rFonts w:ascii="Cambria Math" w:hAnsi="Cambria Math" w:cs="Arial"/>
              <w:sz w:val="24"/>
              <w:szCs w:val="24"/>
            </w:rPr>
            <m:t>=</m:t>
          </m:r>
          <m:func>
            <m:funcPr>
              <m:ctrlPr>
                <w:rPr>
                  <w:rFonts w:ascii="Cambria Math" w:hAnsi="Cambria Math" w:cs="Arial"/>
                  <w:sz w:val="24"/>
                  <w:szCs w:val="24"/>
                </w:rPr>
              </m:ctrlPr>
            </m:funcPr>
            <m:fName>
              <m:r>
                <m:rPr>
                  <m:sty m:val="p"/>
                </m:rPr>
                <w:rPr>
                  <w:rFonts w:ascii="Cambria Math" w:hAnsi="Cambria Math" w:cs="Arial"/>
                  <w:sz w:val="24"/>
                  <w:szCs w:val="24"/>
                </w:rPr>
                <m:t>log</m:t>
              </m:r>
              <m:ctrlPr>
                <w:rPr>
                  <w:rFonts w:ascii="Cambria Math" w:hAnsi="Cambria Math" w:cs="Arial"/>
                  <w:i/>
                  <w:sz w:val="24"/>
                  <w:szCs w:val="24"/>
                </w:rPr>
              </m:ctrlPr>
            </m:fName>
            <m:e>
              <m:func>
                <m:funcPr>
                  <m:ctrlPr>
                    <w:rPr>
                      <w:rFonts w:ascii="Cambria Math" w:hAnsi="Cambria Math" w:cs="Arial"/>
                      <w:sz w:val="24"/>
                      <w:szCs w:val="24"/>
                    </w:rPr>
                  </m:ctrlPr>
                </m:funcPr>
                <m:fName>
                  <m:r>
                    <m:rPr>
                      <m:sty m:val="p"/>
                    </m:rPr>
                    <w:rPr>
                      <w:rFonts w:ascii="Cambria Math" w:hAnsi="Cambria Math" w:cs="Arial"/>
                      <w:sz w:val="24"/>
                      <w:szCs w:val="24"/>
                    </w:rPr>
                    <m:t>det</m:t>
                  </m:r>
                </m:fName>
                <m:e>
                  <m:d>
                    <m:dPr>
                      <m:ctrlPr>
                        <w:rPr>
                          <w:rFonts w:ascii="Cambria Math" w:hAnsi="Cambria Math" w:cs="Arial"/>
                          <w:i/>
                          <w:sz w:val="24"/>
                          <w:szCs w:val="24"/>
                        </w:rPr>
                      </m:ctrlPr>
                    </m:dPr>
                    <m:e>
                      <m:r>
                        <m:rPr>
                          <m:sty m:val="p"/>
                        </m:rPr>
                        <w:rPr>
                          <w:rFonts w:ascii="Cambria Math" w:hAnsi="Cambria Math" w:cs="Arial"/>
                          <w:sz w:val="24"/>
                          <w:szCs w:val="24"/>
                        </w:rPr>
                        <m:t>Θ</m:t>
                      </m:r>
                    </m:e>
                  </m:d>
                </m:e>
              </m:func>
            </m:e>
          </m:func>
          <m:r>
            <w:rPr>
              <w:rFonts w:ascii="Cambria Math" w:hAnsi="Cambria Math" w:cs="Arial"/>
              <w:sz w:val="24"/>
              <w:szCs w:val="24"/>
            </w:rPr>
            <m:t>-</m:t>
          </m:r>
          <m:r>
            <m:rPr>
              <m:nor/>
            </m:rPr>
            <w:rPr>
              <w:rFonts w:ascii="Arial" w:hAnsi="Arial" w:cs="Arial"/>
              <w:sz w:val="24"/>
              <w:szCs w:val="24"/>
            </w:rPr>
            <m:t>tr</m:t>
          </m:r>
          <m:d>
            <m:dPr>
              <m:ctrlPr>
                <w:rPr>
                  <w:rFonts w:ascii="Cambria Math" w:hAnsi="Cambria Math" w:cs="Arial"/>
                  <w:i/>
                  <w:sz w:val="24"/>
                  <w:szCs w:val="24"/>
                </w:rPr>
              </m:ctrlPr>
            </m:dPr>
            <m:e>
              <m:sSub>
                <m:sSubPr>
                  <m:ctrlPr>
                    <w:rPr>
                      <w:rFonts w:ascii="Cambria Math" w:hAnsi="Cambria Math" w:cs="Arial"/>
                      <w:i/>
                      <w:sz w:val="24"/>
                      <w:szCs w:val="24"/>
                    </w:rPr>
                  </m:ctrlPr>
                </m:sSubPr>
                <m:e>
                  <m:r>
                    <w:rPr>
                      <w:rFonts w:ascii="Cambria Math" w:hAnsi="Cambria Math" w:cs="Arial"/>
                      <w:sz w:val="24"/>
                      <w:szCs w:val="24"/>
                    </w:rPr>
                    <m:t>S</m:t>
                  </m:r>
                </m:e>
                <m:sub>
                  <m:r>
                    <m:rPr>
                      <m:nor/>
                    </m:rPr>
                    <w:rPr>
                      <w:rFonts w:ascii="Arial" w:hAnsi="Arial" w:cs="Arial"/>
                      <w:sz w:val="24"/>
                      <w:szCs w:val="24"/>
                    </w:rPr>
                    <m:t>ts</m:t>
                  </m:r>
                </m:sub>
              </m:sSub>
              <m:r>
                <m:rPr>
                  <m:sty m:val="p"/>
                </m:rPr>
                <w:rPr>
                  <w:rFonts w:ascii="Cambria Math" w:hAnsi="Cambria Math" w:cs="Arial"/>
                  <w:sz w:val="24"/>
                  <w:szCs w:val="24"/>
                </w:rPr>
                <m:t>Θ</m:t>
              </m:r>
            </m:e>
          </m:d>
        </m:oMath>
      </m:oMathPara>
    </w:p>
    <w:p w14:paraId="0EE682A7"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We evaluated 15 λ values logarithmically spaced from 0.01 to 0.316 and selected the λ maximizing mean test log-likelihood across folds.</w:t>
      </w:r>
    </w:p>
    <w:p w14:paraId="718113CA" w14:textId="2A12D868" w:rsidR="009B6D8F" w:rsidRPr="00766B78" w:rsidRDefault="00B04C24" w:rsidP="000E6FD4">
      <w:pPr>
        <w:jc w:val="both"/>
        <w:rPr>
          <w:rFonts w:ascii="Arial" w:hAnsi="Arial" w:cs="Arial"/>
          <w:sz w:val="24"/>
          <w:szCs w:val="24"/>
        </w:rPr>
      </w:pPr>
      <w:r w:rsidRPr="00766B78">
        <w:rPr>
          <w:rFonts w:ascii="Arial" w:hAnsi="Arial" w:cs="Arial"/>
          <w:sz w:val="24"/>
          <w:szCs w:val="24"/>
        </w:rPr>
        <w:t xml:space="preserve">And </w:t>
      </w:r>
      <w:r w:rsidR="00766B78" w:rsidRPr="00766B78">
        <w:rPr>
          <w:rFonts w:ascii="Arial" w:hAnsi="Arial" w:cs="Arial"/>
          <w:sz w:val="24"/>
          <w:szCs w:val="24"/>
        </w:rPr>
        <w:t>finally</w:t>
      </w:r>
      <w:r w:rsidRPr="00766B78">
        <w:rPr>
          <w:rFonts w:ascii="Arial" w:hAnsi="Arial" w:cs="Arial"/>
          <w:sz w:val="24"/>
          <w:szCs w:val="24"/>
        </w:rPr>
        <w:t>, in Partial Correlation Network Construction step, precision matrix elements were converted to partial correlations using:</w:t>
      </w:r>
    </w:p>
    <w:p w14:paraId="7FE129A9" w14:textId="5E443D9F" w:rsidR="009B6D8F" w:rsidRPr="00766B78" w:rsidRDefault="00000000" w:rsidP="000E6FD4">
      <w:pPr>
        <w:jc w:val="both"/>
        <w:rPr>
          <w:rFonts w:ascii="Arial" w:hAnsi="Arial" w:cs="Arial"/>
          <w:sz w:val="24"/>
          <w:szCs w:val="24"/>
        </w:rPr>
      </w:pPr>
      <m:oMathPara>
        <m:oMath>
          <m:sSub>
            <m:sSubPr>
              <m:ctrlPr>
                <w:rPr>
                  <w:rFonts w:ascii="Cambria Math" w:hAnsi="Cambria Math" w:cs="Arial"/>
                  <w:i/>
                  <w:sz w:val="24"/>
                  <w:szCs w:val="24"/>
                </w:rPr>
              </m:ctrlPr>
            </m:sSubPr>
            <m:e>
              <m:r>
                <m:rPr>
                  <m:sty m:val="p"/>
                </m:rPr>
                <w:rPr>
                  <w:rFonts w:ascii="Cambria Math" w:hAnsi="Cambria Math" w:cs="Arial"/>
                  <w:sz w:val="24"/>
                  <w:szCs w:val="24"/>
                </w:rPr>
                <m:t>ρ</m:t>
              </m:r>
            </m:e>
            <m:sub>
              <m:r>
                <w:rPr>
                  <w:rFonts w:ascii="Cambria Math" w:hAnsi="Cambria Math" w:cs="Arial"/>
                  <w:sz w:val="24"/>
                  <w:szCs w:val="24"/>
                </w:rPr>
                <m:t>ij</m:t>
              </m:r>
            </m:sub>
          </m:sSub>
          <m:r>
            <w:rPr>
              <w:rFonts w:ascii="Cambria Math" w:hAnsi="Cambria Math" w:cs="Arial"/>
              <w:sz w:val="24"/>
              <w:szCs w:val="24"/>
            </w:rPr>
            <m:t>=-</m:t>
          </m:r>
          <m:f>
            <m:fPr>
              <m:ctrlPr>
                <w:rPr>
                  <w:rFonts w:ascii="Cambria Math" w:hAnsi="Cambria Math" w:cs="Arial"/>
                  <w:sz w:val="24"/>
                  <w:szCs w:val="24"/>
                </w:rPr>
              </m:ctrlPr>
            </m:fPr>
            <m:num>
              <m:sSub>
                <m:sSubPr>
                  <m:ctrlPr>
                    <w:rPr>
                      <w:rFonts w:ascii="Cambria Math" w:hAnsi="Cambria Math" w:cs="Arial"/>
                      <w:i/>
                      <w:sz w:val="24"/>
                      <w:szCs w:val="24"/>
                    </w:rPr>
                  </m:ctrlPr>
                </m:sSubPr>
                <m:e>
                  <m:r>
                    <m:rPr>
                      <m:sty m:val="p"/>
                    </m:rPr>
                    <w:rPr>
                      <w:rFonts w:ascii="Cambria Math" w:hAnsi="Cambria Math" w:cs="Arial"/>
                      <w:sz w:val="24"/>
                      <w:szCs w:val="24"/>
                    </w:rPr>
                    <m:t>θ</m:t>
                  </m:r>
                </m:e>
                <m:sub>
                  <m:r>
                    <w:rPr>
                      <w:rFonts w:ascii="Cambria Math" w:hAnsi="Cambria Math" w:cs="Arial"/>
                      <w:sz w:val="24"/>
                      <w:szCs w:val="24"/>
                    </w:rPr>
                    <m:t>ij</m:t>
                  </m:r>
                </m:sub>
              </m:sSub>
              <m:ctrlPr>
                <w:rPr>
                  <w:rFonts w:ascii="Cambria Math" w:hAnsi="Cambria Math" w:cs="Arial"/>
                  <w:i/>
                  <w:sz w:val="24"/>
                  <w:szCs w:val="24"/>
                </w:rPr>
              </m:ctrlPr>
            </m:num>
            <m:den>
              <m:rad>
                <m:radPr>
                  <m:degHide m:val="1"/>
                  <m:ctrlPr>
                    <w:rPr>
                      <w:rFonts w:ascii="Cambria Math" w:hAnsi="Cambria Math" w:cs="Arial"/>
                      <w:sz w:val="24"/>
                      <w:szCs w:val="24"/>
                    </w:rPr>
                  </m:ctrlPr>
                </m:radPr>
                <m:deg>
                  <m:ctrlPr>
                    <w:rPr>
                      <w:rFonts w:ascii="Cambria Math" w:hAnsi="Cambria Math" w:cs="Arial"/>
                      <w:i/>
                      <w:sz w:val="24"/>
                      <w:szCs w:val="24"/>
                    </w:rPr>
                  </m:ctrlPr>
                </m:deg>
                <m:e>
                  <m:sSub>
                    <m:sSubPr>
                      <m:ctrlPr>
                        <w:rPr>
                          <w:rFonts w:ascii="Cambria Math" w:hAnsi="Cambria Math" w:cs="Arial"/>
                          <w:i/>
                          <w:sz w:val="24"/>
                          <w:szCs w:val="24"/>
                        </w:rPr>
                      </m:ctrlPr>
                    </m:sSubPr>
                    <m:e>
                      <m:r>
                        <m:rPr>
                          <m:sty m:val="p"/>
                        </m:rPr>
                        <w:rPr>
                          <w:rFonts w:ascii="Cambria Math" w:hAnsi="Cambria Math" w:cs="Arial"/>
                          <w:sz w:val="24"/>
                          <w:szCs w:val="24"/>
                        </w:rPr>
                        <m:t>θ</m:t>
                      </m:r>
                    </m:e>
                    <m:sub>
                      <m:r>
                        <w:rPr>
                          <w:rFonts w:ascii="Cambria Math" w:hAnsi="Cambria Math" w:cs="Arial"/>
                          <w:sz w:val="24"/>
                          <w:szCs w:val="24"/>
                        </w:rPr>
                        <m:t>ii</m:t>
                      </m:r>
                    </m:sub>
                  </m:sSub>
                  <m:r>
                    <m:rPr>
                      <m:sty m:val="p"/>
                    </m:rPr>
                    <w:rPr>
                      <w:rFonts w:ascii="Cambria Math" w:hAnsi="Cambria Math" w:cs="Arial"/>
                      <w:sz w:val="24"/>
                      <w:szCs w:val="24"/>
                    </w:rPr>
                    <m:t>⋅</m:t>
                  </m:r>
                  <m:sSub>
                    <m:sSubPr>
                      <m:ctrlPr>
                        <w:rPr>
                          <w:rFonts w:ascii="Cambria Math" w:hAnsi="Cambria Math" w:cs="Arial"/>
                          <w:i/>
                          <w:sz w:val="24"/>
                          <w:szCs w:val="24"/>
                        </w:rPr>
                      </m:ctrlPr>
                    </m:sSubPr>
                    <m:e>
                      <m:r>
                        <m:rPr>
                          <m:sty m:val="p"/>
                        </m:rPr>
                        <w:rPr>
                          <w:rFonts w:ascii="Cambria Math" w:hAnsi="Cambria Math" w:cs="Arial"/>
                          <w:sz w:val="24"/>
                          <w:szCs w:val="24"/>
                        </w:rPr>
                        <m:t>θ</m:t>
                      </m:r>
                      <m:ctrlPr>
                        <w:rPr>
                          <w:rFonts w:ascii="Cambria Math" w:hAnsi="Cambria Math" w:cs="Arial"/>
                          <w:sz w:val="24"/>
                          <w:szCs w:val="24"/>
                        </w:rPr>
                      </m:ctrlPr>
                    </m:e>
                    <m:sub>
                      <m:r>
                        <w:rPr>
                          <w:rFonts w:ascii="Cambria Math" w:hAnsi="Cambria Math" w:cs="Arial"/>
                          <w:sz w:val="24"/>
                          <w:szCs w:val="24"/>
                        </w:rPr>
                        <m:t>jj</m:t>
                      </m:r>
                    </m:sub>
                  </m:sSub>
                </m:e>
              </m:rad>
              <m:ctrlPr>
                <w:rPr>
                  <w:rFonts w:ascii="Cambria Math" w:hAnsi="Cambria Math" w:cs="Arial"/>
                  <w:i/>
                  <w:sz w:val="24"/>
                  <w:szCs w:val="24"/>
                </w:rPr>
              </m:ctrlPr>
            </m:den>
          </m:f>
        </m:oMath>
      </m:oMathPara>
    </w:p>
    <w:p w14:paraId="7C082D34"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where ρᵢⱼ represents the correlation between foods i and j controlling for all other foods. Edges were retained if absolute partial correlation exceeded 0.10, representing meaningful conditional dependencies (13).</w:t>
      </w:r>
    </w:p>
    <w:p w14:paraId="60BB2AFC" w14:textId="77777777" w:rsidR="009B6D8F" w:rsidRPr="00766B78" w:rsidRDefault="00000000" w:rsidP="000E6FD4">
      <w:pPr>
        <w:jc w:val="both"/>
        <w:rPr>
          <w:rFonts w:ascii="Arial" w:hAnsi="Arial" w:cs="Arial"/>
          <w:b/>
          <w:bCs/>
          <w:i/>
          <w:iCs/>
          <w:sz w:val="24"/>
          <w:szCs w:val="24"/>
        </w:rPr>
      </w:pPr>
      <w:r w:rsidRPr="00766B78">
        <w:rPr>
          <w:rFonts w:ascii="Arial" w:hAnsi="Arial" w:cs="Arial"/>
          <w:b/>
          <w:bCs/>
          <w:i/>
          <w:iCs/>
          <w:sz w:val="24"/>
          <w:szCs w:val="24"/>
        </w:rPr>
        <w:t>Network Topology Analysis</w:t>
      </w:r>
    </w:p>
    <w:p w14:paraId="076CF292" w14:textId="6BAA7DCA" w:rsidR="009B6D8F" w:rsidRPr="00766B78" w:rsidRDefault="00000000" w:rsidP="000E6FD4">
      <w:pPr>
        <w:jc w:val="both"/>
        <w:rPr>
          <w:rFonts w:ascii="Arial" w:hAnsi="Arial" w:cs="Arial"/>
          <w:sz w:val="24"/>
          <w:szCs w:val="24"/>
        </w:rPr>
      </w:pPr>
      <w:r w:rsidRPr="00766B78">
        <w:rPr>
          <w:rFonts w:ascii="Arial" w:hAnsi="Arial" w:cs="Arial"/>
          <w:sz w:val="24"/>
          <w:szCs w:val="24"/>
        </w:rPr>
        <w:t>We calculated three node centrality metrics for each food group in every network (14)</w:t>
      </w:r>
      <w:r w:rsidR="00B04C24" w:rsidRPr="00766B78">
        <w:rPr>
          <w:rFonts w:ascii="Arial" w:hAnsi="Arial" w:cs="Arial"/>
          <w:sz w:val="24"/>
          <w:szCs w:val="24"/>
        </w:rPr>
        <w:t>.</w:t>
      </w:r>
    </w:p>
    <w:p w14:paraId="79A28987" w14:textId="6123CF0A" w:rsidR="009B6D8F" w:rsidRPr="00766B78" w:rsidRDefault="00B04C24" w:rsidP="000E6FD4">
      <w:pPr>
        <w:jc w:val="both"/>
        <w:rPr>
          <w:rFonts w:ascii="Arial" w:hAnsi="Arial" w:cs="Arial"/>
          <w:bCs/>
          <w:sz w:val="24"/>
          <w:szCs w:val="24"/>
        </w:rPr>
      </w:pPr>
      <w:r w:rsidRPr="00766B78">
        <w:rPr>
          <w:rFonts w:ascii="Arial" w:hAnsi="Arial" w:cs="Arial"/>
          <w:bCs/>
          <w:sz w:val="24"/>
          <w:szCs w:val="24"/>
        </w:rPr>
        <w:t xml:space="preserve">The degree centrality is calculated by </w:t>
      </w:r>
    </w:p>
    <w:p w14:paraId="6B82EC9D" w14:textId="09BAB1D4" w:rsidR="009B6D8F" w:rsidRPr="00766B78" w:rsidRDefault="000E6FD4" w:rsidP="000E6FD4">
      <w:pPr>
        <w:jc w:val="both"/>
        <w:rPr>
          <w:rFonts w:ascii="Arial" w:hAnsi="Arial" w:cs="Arial"/>
          <w:sz w:val="24"/>
          <w:szCs w:val="24"/>
        </w:rPr>
      </w:pPr>
      <m:oMathPara>
        <m:oMath>
          <m:r>
            <m:rPr>
              <m:nor/>
            </m:rPr>
            <w:rPr>
              <w:rFonts w:ascii="Arial" w:hAnsi="Arial" w:cs="Arial"/>
              <w:sz w:val="24"/>
              <w:szCs w:val="24"/>
            </w:rPr>
            <m:t>DC</m:t>
          </m:r>
          <m:d>
            <m:dPr>
              <m:ctrlPr>
                <w:rPr>
                  <w:rFonts w:ascii="Cambria Math" w:hAnsi="Cambria Math" w:cs="Arial"/>
                  <w:i/>
                  <w:sz w:val="24"/>
                  <w:szCs w:val="24"/>
                </w:rPr>
              </m:ctrlPr>
            </m:dPr>
            <m:e>
              <m:r>
                <w:rPr>
                  <w:rFonts w:ascii="Cambria Math" w:hAnsi="Cambria Math" w:cs="Arial"/>
                  <w:sz w:val="24"/>
                  <w:szCs w:val="24"/>
                </w:rPr>
                <m:t>i</m:t>
              </m:r>
            </m:e>
          </m:d>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k</m:t>
              </m:r>
              <m:d>
                <m:dPr>
                  <m:ctrlPr>
                    <w:rPr>
                      <w:rFonts w:ascii="Cambria Math" w:hAnsi="Cambria Math" w:cs="Arial"/>
                      <w:i/>
                      <w:sz w:val="24"/>
                      <w:szCs w:val="24"/>
                    </w:rPr>
                  </m:ctrlPr>
                </m:dPr>
                <m:e>
                  <m:r>
                    <w:rPr>
                      <w:rFonts w:ascii="Cambria Math" w:hAnsi="Cambria Math" w:cs="Arial"/>
                      <w:sz w:val="24"/>
                      <w:szCs w:val="24"/>
                    </w:rPr>
                    <m:t>i</m:t>
                  </m:r>
                </m:e>
              </m:d>
              <m:ctrlPr>
                <w:rPr>
                  <w:rFonts w:ascii="Cambria Math" w:hAnsi="Cambria Math" w:cs="Arial"/>
                  <w:i/>
                  <w:sz w:val="24"/>
                  <w:szCs w:val="24"/>
                </w:rPr>
              </m:ctrlPr>
            </m:num>
            <m:den>
              <m:r>
                <w:rPr>
                  <w:rFonts w:ascii="Cambria Math" w:hAnsi="Cambria Math" w:cs="Arial"/>
                  <w:sz w:val="24"/>
                  <w:szCs w:val="24"/>
                </w:rPr>
                <m:t>N-1</m:t>
              </m:r>
              <m:ctrlPr>
                <w:rPr>
                  <w:rFonts w:ascii="Cambria Math" w:hAnsi="Cambria Math" w:cs="Arial"/>
                  <w:i/>
                  <w:sz w:val="24"/>
                  <w:szCs w:val="24"/>
                </w:rPr>
              </m:ctrlPr>
            </m:den>
          </m:f>
        </m:oMath>
      </m:oMathPara>
    </w:p>
    <w:p w14:paraId="18BC2485"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where k(i) is the number of direct connections for node i, and N=12 is the total number of nodes.</w:t>
      </w:r>
    </w:p>
    <w:p w14:paraId="04D1C1EF" w14:textId="73D978D5" w:rsidR="009B6D8F" w:rsidRPr="00766B78" w:rsidRDefault="00B04C24" w:rsidP="000E6FD4">
      <w:pPr>
        <w:jc w:val="both"/>
        <w:rPr>
          <w:rFonts w:ascii="Arial" w:hAnsi="Arial" w:cs="Arial"/>
          <w:bCs/>
          <w:sz w:val="24"/>
          <w:szCs w:val="24"/>
        </w:rPr>
      </w:pPr>
      <w:r w:rsidRPr="00766B78">
        <w:rPr>
          <w:rFonts w:ascii="Arial" w:hAnsi="Arial" w:cs="Arial"/>
          <w:bCs/>
          <w:sz w:val="24"/>
          <w:szCs w:val="24"/>
        </w:rPr>
        <w:lastRenderedPageBreak/>
        <w:t xml:space="preserve">The betweenness centrality is </w:t>
      </w:r>
    </w:p>
    <w:p w14:paraId="7E09A977" w14:textId="37324BD4" w:rsidR="009B6D8F" w:rsidRPr="00766B78" w:rsidRDefault="000E6FD4" w:rsidP="000E6FD4">
      <w:pPr>
        <w:jc w:val="both"/>
        <w:rPr>
          <w:rFonts w:ascii="Arial" w:hAnsi="Arial" w:cs="Arial"/>
          <w:sz w:val="24"/>
          <w:szCs w:val="24"/>
        </w:rPr>
      </w:pPr>
      <m:oMathPara>
        <m:oMath>
          <m:r>
            <m:rPr>
              <m:nor/>
            </m:rPr>
            <w:rPr>
              <w:rFonts w:ascii="Arial" w:hAnsi="Arial" w:cs="Arial"/>
              <w:sz w:val="24"/>
              <w:szCs w:val="24"/>
            </w:rPr>
            <m:t>BC</m:t>
          </m:r>
          <m:d>
            <m:dPr>
              <m:ctrlPr>
                <w:rPr>
                  <w:rFonts w:ascii="Cambria Math" w:hAnsi="Cambria Math" w:cs="Arial"/>
                  <w:i/>
                  <w:sz w:val="24"/>
                  <w:szCs w:val="24"/>
                </w:rPr>
              </m:ctrlPr>
            </m:dPr>
            <m:e>
              <m:r>
                <w:rPr>
                  <w:rFonts w:ascii="Cambria Math" w:hAnsi="Cambria Math" w:cs="Arial"/>
                  <w:sz w:val="24"/>
                  <w:szCs w:val="24"/>
                </w:rPr>
                <m:t>i</m:t>
              </m:r>
            </m:e>
          </m:d>
          <m:r>
            <w:rPr>
              <w:rFonts w:ascii="Cambria Math" w:hAnsi="Cambria Math" w:cs="Arial"/>
              <w:sz w:val="24"/>
              <w:szCs w:val="24"/>
            </w:rPr>
            <m:t>=</m:t>
          </m:r>
          <m:nary>
            <m:naryPr>
              <m:chr m:val="∑"/>
              <m:supHide m:val="1"/>
              <m:ctrlPr>
                <w:rPr>
                  <w:rFonts w:ascii="Cambria Math" w:hAnsi="Cambria Math" w:cs="Arial"/>
                  <w:sz w:val="24"/>
                  <w:szCs w:val="24"/>
                </w:rPr>
              </m:ctrlPr>
            </m:naryPr>
            <m:sub>
              <m:r>
                <w:rPr>
                  <w:rFonts w:ascii="Cambria Math" w:hAnsi="Cambria Math" w:cs="Arial"/>
                  <w:sz w:val="24"/>
                  <w:szCs w:val="24"/>
                </w:rPr>
                <m:t>s</m:t>
              </m:r>
              <m:r>
                <m:rPr>
                  <m:sty m:val="p"/>
                </m:rPr>
                <w:rPr>
                  <w:rFonts w:ascii="Cambria Math" w:hAnsi="Cambria Math" w:cs="Arial"/>
                  <w:sz w:val="24"/>
                  <w:szCs w:val="24"/>
                </w:rPr>
                <m:t>≠</m:t>
              </m:r>
              <m:r>
                <w:rPr>
                  <w:rFonts w:ascii="Cambria Math" w:hAnsi="Cambria Math" w:cs="Arial"/>
                  <w:sz w:val="24"/>
                  <w:szCs w:val="24"/>
                </w:rPr>
                <m:t>i</m:t>
              </m:r>
              <m:r>
                <m:rPr>
                  <m:sty m:val="p"/>
                </m:rPr>
                <w:rPr>
                  <w:rFonts w:ascii="Cambria Math" w:hAnsi="Cambria Math" w:cs="Arial"/>
                  <w:sz w:val="24"/>
                  <w:szCs w:val="24"/>
                </w:rPr>
                <m:t>≠</m:t>
              </m:r>
              <m:r>
                <w:rPr>
                  <w:rFonts w:ascii="Cambria Math" w:hAnsi="Cambria Math" w:cs="Arial"/>
                  <w:sz w:val="24"/>
                  <w:szCs w:val="24"/>
                </w:rPr>
                <m:t>t</m:t>
              </m:r>
              <m:ctrlPr>
                <w:rPr>
                  <w:rFonts w:ascii="Cambria Math" w:hAnsi="Cambria Math" w:cs="Arial"/>
                  <w:i/>
                  <w:sz w:val="24"/>
                  <w:szCs w:val="24"/>
                </w:rPr>
              </m:ctrlPr>
            </m:sub>
            <m:sup>
              <m:ctrlPr>
                <w:rPr>
                  <w:rFonts w:ascii="Cambria Math" w:hAnsi="Cambria Math" w:cs="Arial"/>
                  <w:i/>
                  <w:sz w:val="24"/>
                  <w:szCs w:val="24"/>
                </w:rPr>
              </m:ctrlPr>
            </m:sup>
            <m:e>
              <m:f>
                <m:fPr>
                  <m:ctrlPr>
                    <w:rPr>
                      <w:rFonts w:ascii="Cambria Math" w:hAnsi="Cambria Math" w:cs="Arial"/>
                      <w:sz w:val="24"/>
                      <w:szCs w:val="24"/>
                    </w:rPr>
                  </m:ctrlPr>
                </m:fPr>
                <m:num>
                  <m:sSub>
                    <m:sSubPr>
                      <m:ctrlPr>
                        <w:rPr>
                          <w:rFonts w:ascii="Cambria Math" w:hAnsi="Cambria Math" w:cs="Arial"/>
                          <w:i/>
                          <w:sz w:val="24"/>
                          <w:szCs w:val="24"/>
                        </w:rPr>
                      </m:ctrlPr>
                    </m:sSubPr>
                    <m:e>
                      <m:r>
                        <m:rPr>
                          <m:sty m:val="p"/>
                        </m:rPr>
                        <w:rPr>
                          <w:rFonts w:ascii="Cambria Math" w:hAnsi="Cambria Math" w:cs="Arial"/>
                          <w:sz w:val="24"/>
                          <w:szCs w:val="24"/>
                        </w:rPr>
                        <m:t>σ</m:t>
                      </m:r>
                    </m:e>
                    <m:sub>
                      <m:r>
                        <w:rPr>
                          <w:rFonts w:ascii="Cambria Math" w:hAnsi="Cambria Math" w:cs="Arial"/>
                          <w:sz w:val="24"/>
                          <w:szCs w:val="24"/>
                        </w:rPr>
                        <m:t>st</m:t>
                      </m:r>
                    </m:sub>
                  </m:sSub>
                  <m:d>
                    <m:dPr>
                      <m:ctrlPr>
                        <w:rPr>
                          <w:rFonts w:ascii="Cambria Math" w:hAnsi="Cambria Math" w:cs="Arial"/>
                          <w:i/>
                          <w:sz w:val="24"/>
                          <w:szCs w:val="24"/>
                        </w:rPr>
                      </m:ctrlPr>
                    </m:dPr>
                    <m:e>
                      <m:r>
                        <w:rPr>
                          <w:rFonts w:ascii="Cambria Math" w:hAnsi="Cambria Math" w:cs="Arial"/>
                          <w:sz w:val="24"/>
                          <w:szCs w:val="24"/>
                        </w:rPr>
                        <m:t>i</m:t>
                      </m:r>
                    </m:e>
                  </m:d>
                  <m:ctrlPr>
                    <w:rPr>
                      <w:rFonts w:ascii="Cambria Math" w:hAnsi="Cambria Math" w:cs="Arial"/>
                      <w:i/>
                      <w:sz w:val="24"/>
                      <w:szCs w:val="24"/>
                    </w:rPr>
                  </m:ctrlPr>
                </m:num>
                <m:den>
                  <m:sSub>
                    <m:sSubPr>
                      <m:ctrlPr>
                        <w:rPr>
                          <w:rFonts w:ascii="Cambria Math" w:hAnsi="Cambria Math" w:cs="Arial"/>
                          <w:i/>
                          <w:sz w:val="24"/>
                          <w:szCs w:val="24"/>
                        </w:rPr>
                      </m:ctrlPr>
                    </m:sSubPr>
                    <m:e>
                      <m:r>
                        <m:rPr>
                          <m:sty m:val="p"/>
                        </m:rPr>
                        <w:rPr>
                          <w:rFonts w:ascii="Cambria Math" w:hAnsi="Cambria Math" w:cs="Arial"/>
                          <w:sz w:val="24"/>
                          <w:szCs w:val="24"/>
                        </w:rPr>
                        <m:t>σ</m:t>
                      </m:r>
                    </m:e>
                    <m:sub>
                      <m:r>
                        <w:rPr>
                          <w:rFonts w:ascii="Cambria Math" w:hAnsi="Cambria Math" w:cs="Arial"/>
                          <w:sz w:val="24"/>
                          <w:szCs w:val="24"/>
                        </w:rPr>
                        <m:t>st</m:t>
                      </m:r>
                    </m:sub>
                  </m:sSub>
                  <m:ctrlPr>
                    <w:rPr>
                      <w:rFonts w:ascii="Cambria Math" w:hAnsi="Cambria Math" w:cs="Arial"/>
                      <w:i/>
                      <w:sz w:val="24"/>
                      <w:szCs w:val="24"/>
                    </w:rPr>
                  </m:ctrlPr>
                </m:den>
              </m:f>
              <m:ctrlPr>
                <w:rPr>
                  <w:rFonts w:ascii="Cambria Math" w:hAnsi="Cambria Math" w:cs="Arial"/>
                  <w:i/>
                  <w:sz w:val="24"/>
                  <w:szCs w:val="24"/>
                </w:rPr>
              </m:ctrlPr>
            </m:e>
          </m:nary>
        </m:oMath>
      </m:oMathPara>
    </w:p>
    <w:p w14:paraId="53B72A8C"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where σ</w:t>
      </w:r>
      <w:r w:rsidRPr="00766B78">
        <w:rPr>
          <w:rFonts w:ascii="Segoe UI Symbol" w:hAnsi="Segoe UI Symbol" w:cs="Segoe UI Symbol"/>
          <w:sz w:val="24"/>
          <w:szCs w:val="24"/>
        </w:rPr>
        <w:t>ₛₜ</w:t>
      </w:r>
      <w:r w:rsidRPr="00766B78">
        <w:rPr>
          <w:rFonts w:ascii="Arial" w:hAnsi="Arial" w:cs="Arial"/>
          <w:sz w:val="24"/>
          <w:szCs w:val="24"/>
        </w:rPr>
        <w:t xml:space="preserve"> is the total number of shortest paths from node s to node t, and σ</w:t>
      </w:r>
      <w:r w:rsidRPr="00766B78">
        <w:rPr>
          <w:rFonts w:ascii="Segoe UI Symbol" w:hAnsi="Segoe UI Symbol" w:cs="Segoe UI Symbol"/>
          <w:sz w:val="24"/>
          <w:szCs w:val="24"/>
        </w:rPr>
        <w:t>ₛₜ</w:t>
      </w:r>
      <w:r w:rsidRPr="00766B78">
        <w:rPr>
          <w:rFonts w:ascii="Arial" w:hAnsi="Arial" w:cs="Arial"/>
          <w:sz w:val="24"/>
          <w:szCs w:val="24"/>
        </w:rPr>
        <w:t>(i) is the number passing through node i.</w:t>
      </w:r>
    </w:p>
    <w:p w14:paraId="34E8217D" w14:textId="725F1517" w:rsidR="009B6D8F" w:rsidRPr="00766B78" w:rsidRDefault="00766B78" w:rsidP="000E6FD4">
      <w:pPr>
        <w:jc w:val="both"/>
        <w:rPr>
          <w:rFonts w:ascii="Arial" w:hAnsi="Arial" w:cs="Arial"/>
          <w:bCs/>
          <w:sz w:val="24"/>
          <w:szCs w:val="24"/>
        </w:rPr>
      </w:pPr>
      <w:r w:rsidRPr="00766B78">
        <w:rPr>
          <w:rFonts w:ascii="Arial" w:hAnsi="Arial" w:cs="Arial"/>
          <w:bCs/>
          <w:sz w:val="24"/>
          <w:szCs w:val="24"/>
        </w:rPr>
        <w:t>Finally,</w:t>
      </w:r>
      <w:r w:rsidR="00B04C24" w:rsidRPr="00766B78">
        <w:rPr>
          <w:rFonts w:ascii="Arial" w:hAnsi="Arial" w:cs="Arial"/>
          <w:bCs/>
          <w:sz w:val="24"/>
          <w:szCs w:val="24"/>
        </w:rPr>
        <w:t xml:space="preserve"> the closeness centrality is </w:t>
      </w:r>
    </w:p>
    <w:p w14:paraId="48599013" w14:textId="6C20D8E2" w:rsidR="009B6D8F" w:rsidRPr="00766B78" w:rsidRDefault="000E6FD4" w:rsidP="000E6FD4">
      <w:pPr>
        <w:jc w:val="both"/>
        <w:rPr>
          <w:rFonts w:ascii="Arial" w:hAnsi="Arial" w:cs="Arial"/>
          <w:sz w:val="24"/>
          <w:szCs w:val="24"/>
        </w:rPr>
      </w:pPr>
      <m:oMathPara>
        <m:oMath>
          <m:r>
            <m:rPr>
              <m:nor/>
            </m:rPr>
            <w:rPr>
              <w:rFonts w:ascii="Arial" w:hAnsi="Arial" w:cs="Arial"/>
              <w:sz w:val="24"/>
              <w:szCs w:val="24"/>
            </w:rPr>
            <m:t>CC</m:t>
          </m:r>
          <m:d>
            <m:dPr>
              <m:ctrlPr>
                <w:rPr>
                  <w:rFonts w:ascii="Cambria Math" w:hAnsi="Cambria Math" w:cs="Arial"/>
                  <w:i/>
                  <w:sz w:val="24"/>
                  <w:szCs w:val="24"/>
                </w:rPr>
              </m:ctrlPr>
            </m:dPr>
            <m:e>
              <m:r>
                <w:rPr>
                  <w:rFonts w:ascii="Cambria Math" w:hAnsi="Cambria Math" w:cs="Arial"/>
                  <w:sz w:val="24"/>
                  <w:szCs w:val="24"/>
                </w:rPr>
                <m:t>i</m:t>
              </m:r>
            </m:e>
          </m:d>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N-1</m:t>
              </m:r>
              <m:ctrlPr>
                <w:rPr>
                  <w:rFonts w:ascii="Cambria Math" w:hAnsi="Cambria Math" w:cs="Arial"/>
                  <w:i/>
                  <w:sz w:val="24"/>
                  <w:szCs w:val="24"/>
                </w:rPr>
              </m:ctrlPr>
            </m:num>
            <m:den>
              <m:nary>
                <m:naryPr>
                  <m:chr m:val="∑"/>
                  <m:supHide m:val="1"/>
                  <m:ctrlPr>
                    <w:rPr>
                      <w:rFonts w:ascii="Cambria Math" w:hAnsi="Cambria Math" w:cs="Arial"/>
                      <w:sz w:val="24"/>
                      <w:szCs w:val="24"/>
                    </w:rPr>
                  </m:ctrlPr>
                </m:naryPr>
                <m:sub>
                  <m:r>
                    <w:rPr>
                      <w:rFonts w:ascii="Cambria Math" w:hAnsi="Cambria Math" w:cs="Arial"/>
                      <w:sz w:val="24"/>
                      <w:szCs w:val="24"/>
                    </w:rPr>
                    <m:t>j</m:t>
                  </m:r>
                  <m:ctrlPr>
                    <w:rPr>
                      <w:rFonts w:ascii="Cambria Math" w:hAnsi="Cambria Math" w:cs="Arial"/>
                      <w:i/>
                      <w:sz w:val="24"/>
                      <w:szCs w:val="24"/>
                    </w:rPr>
                  </m:ctrlPr>
                </m:sub>
                <m:sup>
                  <m:ctrlPr>
                    <w:rPr>
                      <w:rFonts w:ascii="Cambria Math" w:hAnsi="Cambria Math" w:cs="Arial"/>
                      <w:i/>
                      <w:sz w:val="24"/>
                      <w:szCs w:val="24"/>
                    </w:rPr>
                  </m:ctrlPr>
                </m:sup>
                <m:e>
                  <m:r>
                    <w:rPr>
                      <w:rFonts w:ascii="Cambria Math" w:hAnsi="Cambria Math" w:cs="Arial"/>
                      <w:sz w:val="24"/>
                      <w:szCs w:val="24"/>
                    </w:rPr>
                    <m:t>d</m:t>
                  </m:r>
                  <m:d>
                    <m:dPr>
                      <m:ctrlPr>
                        <w:rPr>
                          <w:rFonts w:ascii="Cambria Math" w:hAnsi="Cambria Math" w:cs="Arial"/>
                          <w:i/>
                          <w:sz w:val="24"/>
                          <w:szCs w:val="24"/>
                        </w:rPr>
                      </m:ctrlPr>
                    </m:dPr>
                    <m:e>
                      <m:r>
                        <w:rPr>
                          <w:rFonts w:ascii="Cambria Math" w:hAnsi="Cambria Math" w:cs="Arial"/>
                          <w:sz w:val="24"/>
                          <w:szCs w:val="24"/>
                        </w:rPr>
                        <m:t>i,j</m:t>
                      </m:r>
                    </m:e>
                  </m:d>
                  <m:ctrlPr>
                    <w:rPr>
                      <w:rFonts w:ascii="Cambria Math" w:hAnsi="Cambria Math" w:cs="Arial"/>
                      <w:i/>
                      <w:sz w:val="24"/>
                      <w:szCs w:val="24"/>
                    </w:rPr>
                  </m:ctrlPr>
                </m:e>
              </m:nary>
              <m:ctrlPr>
                <w:rPr>
                  <w:rFonts w:ascii="Cambria Math" w:hAnsi="Cambria Math" w:cs="Arial"/>
                  <w:i/>
                  <w:sz w:val="24"/>
                  <w:szCs w:val="24"/>
                </w:rPr>
              </m:ctrlPr>
            </m:den>
          </m:f>
        </m:oMath>
      </m:oMathPara>
    </w:p>
    <w:p w14:paraId="24E7A24C" w14:textId="4985B739" w:rsidR="009B6D8F" w:rsidRPr="00766B78" w:rsidRDefault="00000000" w:rsidP="000E6FD4">
      <w:pPr>
        <w:jc w:val="both"/>
        <w:rPr>
          <w:rFonts w:ascii="Arial" w:hAnsi="Arial" w:cs="Arial"/>
          <w:sz w:val="24"/>
          <w:szCs w:val="24"/>
        </w:rPr>
      </w:pPr>
      <w:r w:rsidRPr="00766B78">
        <w:rPr>
          <w:rFonts w:ascii="Arial" w:hAnsi="Arial" w:cs="Arial"/>
          <w:sz w:val="24"/>
          <w:szCs w:val="24"/>
        </w:rPr>
        <w:t>where d(</w:t>
      </w:r>
      <w:proofErr w:type="gramStart"/>
      <w:r w:rsidRPr="00766B78">
        <w:rPr>
          <w:rFonts w:ascii="Arial" w:hAnsi="Arial" w:cs="Arial"/>
          <w:sz w:val="24"/>
          <w:szCs w:val="24"/>
        </w:rPr>
        <w:t>i,j</w:t>
      </w:r>
      <w:proofErr w:type="gramEnd"/>
      <w:r w:rsidRPr="00766B78">
        <w:rPr>
          <w:rFonts w:ascii="Arial" w:hAnsi="Arial" w:cs="Arial"/>
          <w:sz w:val="24"/>
          <w:szCs w:val="24"/>
        </w:rPr>
        <w:t xml:space="preserve">) is the shortest path distance from node </w:t>
      </w:r>
      <w:proofErr w:type="spellStart"/>
      <w:r w:rsidRPr="00766B78">
        <w:rPr>
          <w:rFonts w:ascii="Arial" w:hAnsi="Arial" w:cs="Arial"/>
          <w:sz w:val="24"/>
          <w:szCs w:val="24"/>
        </w:rPr>
        <w:t>i</w:t>
      </w:r>
      <w:proofErr w:type="spellEnd"/>
      <w:r w:rsidRPr="00766B78">
        <w:rPr>
          <w:rFonts w:ascii="Arial" w:hAnsi="Arial" w:cs="Arial"/>
          <w:sz w:val="24"/>
          <w:szCs w:val="24"/>
        </w:rPr>
        <w:t xml:space="preserve"> to node j.</w:t>
      </w:r>
      <w:r w:rsidR="00B04C24" w:rsidRPr="00766B78">
        <w:rPr>
          <w:rFonts w:ascii="Arial" w:hAnsi="Arial" w:cs="Arial"/>
          <w:sz w:val="24"/>
          <w:szCs w:val="24"/>
        </w:rPr>
        <w:t xml:space="preserve"> </w:t>
      </w:r>
      <w:r w:rsidRPr="00766B78">
        <w:rPr>
          <w:rFonts w:ascii="Arial" w:hAnsi="Arial" w:cs="Arial"/>
          <w:sz w:val="24"/>
          <w:szCs w:val="24"/>
        </w:rPr>
        <w:t>Hub foods were operationally defined as those ranking in the top 3 for degree centrality within their subgroup.</w:t>
      </w:r>
    </w:p>
    <w:p w14:paraId="654A00F8" w14:textId="77777777" w:rsidR="009B6D8F" w:rsidRPr="00766B78" w:rsidRDefault="00000000" w:rsidP="000E6FD4">
      <w:pPr>
        <w:jc w:val="both"/>
        <w:rPr>
          <w:rFonts w:ascii="Arial" w:hAnsi="Arial" w:cs="Arial"/>
          <w:b/>
          <w:bCs/>
          <w:i/>
          <w:iCs/>
          <w:sz w:val="24"/>
          <w:szCs w:val="24"/>
        </w:rPr>
      </w:pPr>
      <w:r w:rsidRPr="00766B78">
        <w:rPr>
          <w:rFonts w:ascii="Arial" w:hAnsi="Arial" w:cs="Arial"/>
          <w:b/>
          <w:bCs/>
          <w:i/>
          <w:iCs/>
          <w:sz w:val="24"/>
          <w:szCs w:val="24"/>
        </w:rPr>
        <w:t>Community Detection and Dietary Pattern Identification</w:t>
      </w:r>
    </w:p>
    <w:p w14:paraId="63140F3F"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We applied the Louvain community detection algorithm to identify clusters of co-consumed food groups (15). The Louvain method optimizes modularity (Q):</w:t>
      </w:r>
    </w:p>
    <w:p w14:paraId="1399C5F9" w14:textId="33742873" w:rsidR="009B6D8F" w:rsidRPr="00766B78" w:rsidRDefault="000E6FD4" w:rsidP="000E6FD4">
      <w:pPr>
        <w:jc w:val="both"/>
        <w:rPr>
          <w:rFonts w:ascii="Arial" w:hAnsi="Arial" w:cs="Arial"/>
          <w:sz w:val="24"/>
          <w:szCs w:val="24"/>
        </w:rPr>
      </w:pPr>
      <m:oMathPara>
        <m:oMath>
          <m:r>
            <w:rPr>
              <w:rFonts w:ascii="Cambria Math" w:hAnsi="Cambria Math" w:cs="Arial"/>
              <w:sz w:val="24"/>
              <w:szCs w:val="24"/>
            </w:rPr>
            <m:t>Q=</m:t>
          </m:r>
          <m:f>
            <m:fPr>
              <m:ctrlPr>
                <w:rPr>
                  <w:rFonts w:ascii="Cambria Math" w:hAnsi="Cambria Math" w:cs="Arial"/>
                  <w:sz w:val="24"/>
                  <w:szCs w:val="24"/>
                </w:rPr>
              </m:ctrlPr>
            </m:fPr>
            <m:num>
              <m:r>
                <w:rPr>
                  <w:rFonts w:ascii="Cambria Math" w:hAnsi="Cambria Math" w:cs="Arial"/>
                  <w:sz w:val="24"/>
                  <w:szCs w:val="24"/>
                </w:rPr>
                <m:t>1</m:t>
              </m:r>
              <m:ctrlPr>
                <w:rPr>
                  <w:rFonts w:ascii="Cambria Math" w:hAnsi="Cambria Math" w:cs="Arial"/>
                  <w:i/>
                  <w:sz w:val="24"/>
                  <w:szCs w:val="24"/>
                </w:rPr>
              </m:ctrlPr>
            </m:num>
            <m:den>
              <m:r>
                <w:rPr>
                  <w:rFonts w:ascii="Cambria Math" w:hAnsi="Cambria Math" w:cs="Arial"/>
                  <w:sz w:val="24"/>
                  <w:szCs w:val="24"/>
                </w:rPr>
                <m:t>2m</m:t>
              </m:r>
              <m:ctrlPr>
                <w:rPr>
                  <w:rFonts w:ascii="Cambria Math" w:hAnsi="Cambria Math" w:cs="Arial"/>
                  <w:i/>
                  <w:sz w:val="24"/>
                  <w:szCs w:val="24"/>
                </w:rPr>
              </m:ctrlPr>
            </m:den>
          </m:f>
          <m:nary>
            <m:naryPr>
              <m:chr m:val="∑"/>
              <m:supHide m:val="1"/>
              <m:ctrlPr>
                <w:rPr>
                  <w:rFonts w:ascii="Cambria Math" w:hAnsi="Cambria Math" w:cs="Arial"/>
                  <w:sz w:val="24"/>
                  <w:szCs w:val="24"/>
                </w:rPr>
              </m:ctrlPr>
            </m:naryPr>
            <m:sub>
              <m:r>
                <w:rPr>
                  <w:rFonts w:ascii="Cambria Math" w:hAnsi="Cambria Math" w:cs="Arial"/>
                  <w:sz w:val="24"/>
                  <w:szCs w:val="24"/>
                </w:rPr>
                <m:t>ij</m:t>
              </m:r>
              <m:ctrlPr>
                <w:rPr>
                  <w:rFonts w:ascii="Cambria Math" w:hAnsi="Cambria Math" w:cs="Arial"/>
                  <w:i/>
                  <w:sz w:val="24"/>
                  <w:szCs w:val="24"/>
                </w:rPr>
              </m:ctrlPr>
            </m:sub>
            <m:sup>
              <m:ctrlPr>
                <w:rPr>
                  <w:rFonts w:ascii="Cambria Math" w:hAnsi="Cambria Math" w:cs="Arial"/>
                  <w:i/>
                  <w:sz w:val="24"/>
                  <w:szCs w:val="24"/>
                </w:rPr>
              </m:ctrlPr>
            </m:sup>
            <m:e>
              <m:d>
                <m:dPr>
                  <m:begChr m:val="["/>
                  <m:endChr m:val="]"/>
                  <m:ctrlPr>
                    <w:rPr>
                      <w:rFonts w:ascii="Cambria Math" w:hAnsi="Cambria Math" w:cs="Arial"/>
                      <w:sz w:val="24"/>
                      <w:szCs w:val="24"/>
                    </w:rPr>
                  </m:ctrlPr>
                </m:dPr>
                <m:e>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ij</m:t>
                      </m:r>
                    </m:sub>
                  </m:sSub>
                  <m:r>
                    <w:rPr>
                      <w:rFonts w:ascii="Cambria Math" w:hAnsi="Cambria Math" w:cs="Arial"/>
                      <w:sz w:val="24"/>
                      <w:szCs w:val="24"/>
                    </w:rPr>
                    <m:t>-</m:t>
                  </m:r>
                  <m:f>
                    <m:fPr>
                      <m:ctrlPr>
                        <w:rPr>
                          <w:rFonts w:ascii="Cambria Math" w:hAnsi="Cambria Math" w:cs="Arial"/>
                          <w:sz w:val="24"/>
                          <w:szCs w:val="24"/>
                        </w:rPr>
                      </m:ctrlPr>
                    </m:fPr>
                    <m:num>
                      <m:sSub>
                        <m:sSubPr>
                          <m:ctrlPr>
                            <w:rPr>
                              <w:rFonts w:ascii="Cambria Math" w:hAnsi="Cambria Math" w:cs="Arial"/>
                              <w:i/>
                              <w:sz w:val="24"/>
                              <w:szCs w:val="24"/>
                            </w:rPr>
                          </m:ctrlPr>
                        </m:sSubPr>
                        <m:e>
                          <m:r>
                            <w:rPr>
                              <w:rFonts w:ascii="Cambria Math" w:hAnsi="Cambria Math" w:cs="Arial"/>
                              <w:sz w:val="24"/>
                              <w:szCs w:val="24"/>
                            </w:rPr>
                            <m:t>k</m:t>
                          </m:r>
                        </m:e>
                        <m:sub>
                          <m:r>
                            <w:rPr>
                              <w:rFonts w:ascii="Cambria Math" w:hAnsi="Cambria Math" w:cs="Arial"/>
                              <w:sz w:val="24"/>
                              <w:szCs w:val="24"/>
                            </w:rPr>
                            <m:t>i</m:t>
                          </m:r>
                        </m:sub>
                      </m:sSub>
                      <m:sSub>
                        <m:sSubPr>
                          <m:ctrlPr>
                            <w:rPr>
                              <w:rFonts w:ascii="Cambria Math" w:hAnsi="Cambria Math" w:cs="Arial"/>
                              <w:i/>
                              <w:sz w:val="24"/>
                              <w:szCs w:val="24"/>
                            </w:rPr>
                          </m:ctrlPr>
                        </m:sSubPr>
                        <m:e>
                          <m:r>
                            <w:rPr>
                              <w:rFonts w:ascii="Cambria Math" w:hAnsi="Cambria Math" w:cs="Arial"/>
                              <w:sz w:val="24"/>
                              <w:szCs w:val="24"/>
                            </w:rPr>
                            <m:t>k</m:t>
                          </m:r>
                        </m:e>
                        <m:sub>
                          <m:r>
                            <w:rPr>
                              <w:rFonts w:ascii="Cambria Math" w:hAnsi="Cambria Math" w:cs="Arial"/>
                              <w:sz w:val="24"/>
                              <w:szCs w:val="24"/>
                            </w:rPr>
                            <m:t>j</m:t>
                          </m:r>
                        </m:sub>
                      </m:sSub>
                      <m:ctrlPr>
                        <w:rPr>
                          <w:rFonts w:ascii="Cambria Math" w:hAnsi="Cambria Math" w:cs="Arial"/>
                          <w:i/>
                          <w:sz w:val="24"/>
                          <w:szCs w:val="24"/>
                        </w:rPr>
                      </m:ctrlPr>
                    </m:num>
                    <m:den>
                      <m:r>
                        <w:rPr>
                          <w:rFonts w:ascii="Cambria Math" w:hAnsi="Cambria Math" w:cs="Arial"/>
                          <w:sz w:val="24"/>
                          <w:szCs w:val="24"/>
                        </w:rPr>
                        <m:t>2m</m:t>
                      </m:r>
                      <m:ctrlPr>
                        <w:rPr>
                          <w:rFonts w:ascii="Cambria Math" w:hAnsi="Cambria Math" w:cs="Arial"/>
                          <w:i/>
                          <w:sz w:val="24"/>
                          <w:szCs w:val="24"/>
                        </w:rPr>
                      </m:ctrlPr>
                    </m:den>
                  </m:f>
                  <m:ctrlPr>
                    <w:rPr>
                      <w:rFonts w:ascii="Cambria Math" w:hAnsi="Cambria Math" w:cs="Arial"/>
                      <w:i/>
                      <w:sz w:val="24"/>
                      <w:szCs w:val="24"/>
                    </w:rPr>
                  </m:ctrlPr>
                </m:e>
              </m:d>
              <m:r>
                <m:rPr>
                  <m:sty m:val="p"/>
                </m:rPr>
                <w:rPr>
                  <w:rFonts w:ascii="Cambria Math" w:hAnsi="Cambria Math" w:cs="Arial"/>
                  <w:sz w:val="24"/>
                  <w:szCs w:val="24"/>
                </w:rPr>
                <m:t>δ</m:t>
              </m:r>
              <m:d>
                <m:dPr>
                  <m:ctrlPr>
                    <w:rPr>
                      <w:rFonts w:ascii="Cambria Math" w:hAnsi="Cambria Math" w:cs="Arial"/>
                      <w:i/>
                      <w:sz w:val="24"/>
                      <w:szCs w:val="24"/>
                    </w:rPr>
                  </m:ctrlPr>
                </m:dPr>
                <m:e>
                  <m:sSub>
                    <m:sSubPr>
                      <m:ctrlPr>
                        <w:rPr>
                          <w:rFonts w:ascii="Cambria Math" w:hAnsi="Cambria Math" w:cs="Arial"/>
                          <w:i/>
                          <w:sz w:val="24"/>
                          <w:szCs w:val="24"/>
                        </w:rPr>
                      </m:ctrlPr>
                    </m:sSubPr>
                    <m:e>
                      <m:r>
                        <w:rPr>
                          <w:rFonts w:ascii="Cambria Math" w:hAnsi="Cambria Math" w:cs="Arial"/>
                          <w:sz w:val="24"/>
                          <w:szCs w:val="24"/>
                        </w:rPr>
                        <m:t>c</m:t>
                      </m:r>
                    </m:e>
                    <m:sub>
                      <m:r>
                        <w:rPr>
                          <w:rFonts w:ascii="Cambria Math" w:hAnsi="Cambria Math" w:cs="Arial"/>
                          <w:sz w:val="24"/>
                          <w:szCs w:val="24"/>
                        </w:rPr>
                        <m:t>i</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c</m:t>
                      </m:r>
                    </m:e>
                    <m:sub>
                      <m:r>
                        <w:rPr>
                          <w:rFonts w:ascii="Cambria Math" w:hAnsi="Cambria Math" w:cs="Arial"/>
                          <w:sz w:val="24"/>
                          <w:szCs w:val="24"/>
                        </w:rPr>
                        <m:t>j</m:t>
                      </m:r>
                    </m:sub>
                  </m:sSub>
                </m:e>
              </m:d>
              <m:ctrlPr>
                <w:rPr>
                  <w:rFonts w:ascii="Cambria Math" w:hAnsi="Cambria Math" w:cs="Arial"/>
                  <w:i/>
                  <w:sz w:val="24"/>
                  <w:szCs w:val="24"/>
                </w:rPr>
              </m:ctrlPr>
            </m:e>
          </m:nary>
        </m:oMath>
      </m:oMathPara>
    </w:p>
    <w:p w14:paraId="0D4C8C05"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 xml:space="preserve">where m is total edge count, Aᵢⱼ is the adjacency matrix (weighted by partial correlations), kᵢ and kⱼ are node degrees, cᵢ and cⱼ are community assignments, and </w:t>
      </w:r>
      <w:proofErr w:type="gramStart"/>
      <w:r w:rsidRPr="00766B78">
        <w:rPr>
          <w:rFonts w:ascii="Arial" w:hAnsi="Arial" w:cs="Arial"/>
          <w:sz w:val="24"/>
          <w:szCs w:val="24"/>
        </w:rPr>
        <w:t>δ(</w:t>
      </w:r>
      <w:proofErr w:type="gramEnd"/>
      <w:r w:rsidRPr="00766B78">
        <w:rPr>
          <w:rFonts w:ascii="Arial" w:hAnsi="Arial" w:cs="Arial"/>
          <w:sz w:val="24"/>
          <w:szCs w:val="24"/>
        </w:rPr>
        <w:t>cᵢ, cⱼ) = 1 if nodes i and j belong to the same community, 0 otherwise. Modularity Q &gt; 0.3 indicates meaningful community structure.</w:t>
      </w:r>
    </w:p>
    <w:p w14:paraId="4CA455E3" w14:textId="77777777" w:rsidR="009B6D8F" w:rsidRPr="00766B78" w:rsidRDefault="00000000" w:rsidP="000E6FD4">
      <w:pPr>
        <w:jc w:val="both"/>
        <w:rPr>
          <w:rFonts w:ascii="Arial" w:hAnsi="Arial" w:cs="Arial"/>
          <w:b/>
          <w:bCs/>
          <w:i/>
          <w:iCs/>
          <w:sz w:val="24"/>
          <w:szCs w:val="24"/>
        </w:rPr>
      </w:pPr>
      <w:r w:rsidRPr="00766B78">
        <w:rPr>
          <w:rFonts w:ascii="Arial" w:hAnsi="Arial" w:cs="Arial"/>
          <w:b/>
          <w:bCs/>
          <w:i/>
          <w:iCs/>
          <w:sz w:val="24"/>
          <w:szCs w:val="24"/>
        </w:rPr>
        <w:t>Quantification of Hub Food Network Leverage</w:t>
      </w:r>
    </w:p>
    <w:p w14:paraId="577FB689"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To assess the network leverage of hub foods—their cascading influence on consumption of connected foods—we employed multiple linear regression. For each hub in every subgroup:</w:t>
      </w:r>
    </w:p>
    <w:p w14:paraId="598A9423" w14:textId="10436AD5" w:rsidR="009B6D8F" w:rsidRPr="00766B78" w:rsidRDefault="00000000" w:rsidP="000E6FD4">
      <w:pPr>
        <w:jc w:val="both"/>
        <w:rPr>
          <w:rFonts w:ascii="Arial"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Y</m:t>
              </m:r>
            </m:e>
            <m:sub>
              <m:r>
                <m:rPr>
                  <m:nor/>
                </m:rPr>
                <w:rPr>
                  <w:rFonts w:ascii="Arial" w:hAnsi="Arial" w:cs="Arial"/>
                  <w:sz w:val="24"/>
                  <w:szCs w:val="24"/>
                </w:rPr>
                <m:t>connected food</m:t>
              </m:r>
            </m:sub>
          </m:sSub>
          <m:r>
            <w:rPr>
              <w:rFonts w:ascii="Cambria Math" w:hAnsi="Cambria Math" w:cs="Arial"/>
              <w:sz w:val="24"/>
              <w:szCs w:val="24"/>
            </w:rPr>
            <m:t>=</m:t>
          </m:r>
          <m:sSub>
            <m:sSubPr>
              <m:ctrlPr>
                <w:rPr>
                  <w:rFonts w:ascii="Cambria Math" w:hAnsi="Cambria Math" w:cs="Arial"/>
                  <w:i/>
                  <w:sz w:val="24"/>
                  <w:szCs w:val="24"/>
                </w:rPr>
              </m:ctrlPr>
            </m:sSubPr>
            <m:e>
              <m:r>
                <m:rPr>
                  <m:sty m:val="p"/>
                </m:rPr>
                <w:rPr>
                  <w:rFonts w:ascii="Cambria Math" w:hAnsi="Cambria Math" w:cs="Arial"/>
                  <w:sz w:val="24"/>
                  <w:szCs w:val="24"/>
                </w:rPr>
                <m:t>β</m:t>
              </m:r>
            </m:e>
            <m:sub>
              <m:r>
                <w:rPr>
                  <w:rFonts w:ascii="Cambria Math" w:hAnsi="Cambria Math" w:cs="Arial"/>
                  <w:sz w:val="24"/>
                  <w:szCs w:val="24"/>
                </w:rPr>
                <m:t>0</m:t>
              </m:r>
            </m:sub>
          </m:sSub>
          <m:r>
            <w:rPr>
              <w:rFonts w:ascii="Cambria Math" w:hAnsi="Cambria Math" w:cs="Arial"/>
              <w:sz w:val="24"/>
              <w:szCs w:val="24"/>
            </w:rPr>
            <m:t>+</m:t>
          </m:r>
          <m:sSub>
            <m:sSubPr>
              <m:ctrlPr>
                <w:rPr>
                  <w:rFonts w:ascii="Cambria Math" w:hAnsi="Cambria Math" w:cs="Arial"/>
                  <w:i/>
                  <w:sz w:val="24"/>
                  <w:szCs w:val="24"/>
                </w:rPr>
              </m:ctrlPr>
            </m:sSubPr>
            <m:e>
              <m:r>
                <m:rPr>
                  <m:sty m:val="p"/>
                </m:rPr>
                <w:rPr>
                  <w:rFonts w:ascii="Cambria Math" w:hAnsi="Cambria Math" w:cs="Arial"/>
                  <w:sz w:val="24"/>
                  <w:szCs w:val="24"/>
                </w:rPr>
                <m:t>β</m:t>
              </m:r>
            </m:e>
            <m:sub>
              <m:r>
                <w:rPr>
                  <w:rFonts w:ascii="Cambria Math" w:hAnsi="Cambria Math" w:cs="Arial"/>
                  <w:sz w:val="24"/>
                  <w:szCs w:val="24"/>
                </w:rPr>
                <m:t>1</m:t>
              </m:r>
            </m:sub>
          </m:sSub>
          <m:d>
            <m:dPr>
              <m:ctrlPr>
                <w:rPr>
                  <w:rFonts w:ascii="Cambria Math" w:hAnsi="Cambria Math" w:cs="Arial"/>
                  <w:i/>
                  <w:sz w:val="24"/>
                  <w:szCs w:val="24"/>
                </w:rPr>
              </m:ctrlPr>
            </m:dPr>
            <m:e>
              <m:r>
                <m:rPr>
                  <m:nor/>
                </m:rPr>
                <w:rPr>
                  <w:rFonts w:ascii="Arial" w:hAnsi="Arial" w:cs="Arial"/>
                  <w:sz w:val="24"/>
                  <w:szCs w:val="24"/>
                </w:rPr>
                <m:t>hub consumption group</m:t>
              </m:r>
            </m:e>
          </m:d>
          <m:r>
            <w:rPr>
              <w:rFonts w:ascii="Cambria Math" w:hAnsi="Cambria Math" w:cs="Arial"/>
              <w:sz w:val="24"/>
              <w:szCs w:val="24"/>
            </w:rPr>
            <m:t>+</m:t>
          </m:r>
          <m:nary>
            <m:naryPr>
              <m:chr m:val="∑"/>
              <m:ctrlPr>
                <w:rPr>
                  <w:rFonts w:ascii="Cambria Math" w:hAnsi="Cambria Math" w:cs="Arial"/>
                  <w:sz w:val="24"/>
                  <w:szCs w:val="24"/>
                </w:rPr>
              </m:ctrlPr>
            </m:naryPr>
            <m:sub>
              <m:r>
                <w:rPr>
                  <w:rFonts w:ascii="Cambria Math" w:hAnsi="Cambria Math" w:cs="Arial"/>
                  <w:sz w:val="24"/>
                  <w:szCs w:val="24"/>
                </w:rPr>
                <m:t>k=2</m:t>
              </m:r>
              <m:ctrlPr>
                <w:rPr>
                  <w:rFonts w:ascii="Cambria Math" w:hAnsi="Cambria Math" w:cs="Arial"/>
                  <w:i/>
                  <w:sz w:val="24"/>
                  <w:szCs w:val="24"/>
                </w:rPr>
              </m:ctrlPr>
            </m:sub>
            <m:sup>
              <m:r>
                <w:rPr>
                  <w:rFonts w:ascii="Cambria Math" w:hAnsi="Cambria Math" w:cs="Arial"/>
                  <w:sz w:val="24"/>
                  <w:szCs w:val="24"/>
                </w:rPr>
                <m:t>10</m:t>
              </m:r>
              <m:ctrlPr>
                <w:rPr>
                  <w:rFonts w:ascii="Cambria Math" w:hAnsi="Cambria Math" w:cs="Arial"/>
                  <w:i/>
                  <w:sz w:val="24"/>
                  <w:szCs w:val="24"/>
                </w:rPr>
              </m:ctrlPr>
            </m:sup>
            <m:e>
              <m:sSub>
                <m:sSubPr>
                  <m:ctrlPr>
                    <w:rPr>
                      <w:rFonts w:ascii="Cambria Math" w:hAnsi="Cambria Math" w:cs="Arial"/>
                      <w:i/>
                      <w:sz w:val="24"/>
                      <w:szCs w:val="24"/>
                    </w:rPr>
                  </m:ctrlPr>
                </m:sSubPr>
                <m:e>
                  <m:r>
                    <m:rPr>
                      <m:sty m:val="p"/>
                    </m:rPr>
                    <w:rPr>
                      <w:rFonts w:ascii="Cambria Math" w:hAnsi="Cambria Math" w:cs="Arial"/>
                      <w:sz w:val="24"/>
                      <w:szCs w:val="24"/>
                    </w:rPr>
                    <m:t>β</m:t>
                  </m:r>
                </m:e>
                <m:sub>
                  <m:r>
                    <w:rPr>
                      <w:rFonts w:ascii="Cambria Math" w:hAnsi="Cambria Math" w:cs="Arial"/>
                      <w:sz w:val="24"/>
                      <w:szCs w:val="24"/>
                    </w:rPr>
                    <m:t>k</m:t>
                  </m:r>
                </m:sub>
              </m:sSub>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k</m:t>
                  </m:r>
                </m:sub>
              </m:sSub>
              <m:ctrlPr>
                <w:rPr>
                  <w:rFonts w:ascii="Cambria Math" w:hAnsi="Cambria Math" w:cs="Arial"/>
                  <w:i/>
                  <w:sz w:val="24"/>
                  <w:szCs w:val="24"/>
                </w:rPr>
              </m:ctrlPr>
            </m:e>
          </m:nary>
          <m:r>
            <w:rPr>
              <w:rFonts w:ascii="Cambria Math" w:hAnsi="Cambria Math" w:cs="Arial"/>
              <w:sz w:val="24"/>
              <w:szCs w:val="24"/>
            </w:rPr>
            <m:t>+</m:t>
          </m:r>
        </m:oMath>
      </m:oMathPara>
    </w:p>
    <w:p w14:paraId="3461F1E9"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where Y is the consumption score of a connected food, β</w:t>
      </w:r>
      <w:r w:rsidRPr="00766B78">
        <w:rPr>
          <w:rFonts w:ascii="Cambria Math" w:hAnsi="Cambria Math" w:cs="Cambria Math"/>
          <w:sz w:val="24"/>
          <w:szCs w:val="24"/>
        </w:rPr>
        <w:t>₁</w:t>
      </w:r>
      <w:r w:rsidRPr="00766B78">
        <w:rPr>
          <w:rFonts w:ascii="Arial" w:hAnsi="Arial" w:cs="Arial"/>
          <w:sz w:val="24"/>
          <w:szCs w:val="24"/>
        </w:rPr>
        <w:t xml:space="preserve"> quantifies the mean difference between high versus low hub consumption groups, and X</w:t>
      </w:r>
      <w:r w:rsidRPr="00766B78">
        <w:rPr>
          <w:rFonts w:ascii="Segoe UI Symbol" w:hAnsi="Segoe UI Symbol" w:cs="Segoe UI Symbol"/>
          <w:sz w:val="24"/>
          <w:szCs w:val="24"/>
        </w:rPr>
        <w:t>ₖ</w:t>
      </w:r>
      <w:r w:rsidRPr="00766B78">
        <w:rPr>
          <w:rFonts w:ascii="Arial" w:hAnsi="Arial" w:cs="Arial"/>
          <w:sz w:val="24"/>
          <w:szCs w:val="24"/>
        </w:rPr>
        <w:t xml:space="preserve"> represents covariates (age, education, income, physical activity, smoking, alcohol, total energy intake, BMI, disease count). The coefficient β</w:t>
      </w:r>
      <w:r w:rsidRPr="00766B78">
        <w:rPr>
          <w:rFonts w:ascii="Cambria Math" w:hAnsi="Cambria Math" w:cs="Cambria Math"/>
          <w:sz w:val="24"/>
          <w:szCs w:val="24"/>
        </w:rPr>
        <w:t>₁</w:t>
      </w:r>
      <w:r w:rsidRPr="00766B78">
        <w:rPr>
          <w:rFonts w:ascii="Arial" w:hAnsi="Arial" w:cs="Arial"/>
          <w:sz w:val="24"/>
          <w:szCs w:val="24"/>
        </w:rPr>
        <w:t xml:space="preserve"> was standardized to </w:t>
      </w:r>
      <w:r w:rsidRPr="00766B78">
        <w:rPr>
          <w:rFonts w:ascii="Arial" w:hAnsi="Arial" w:cs="Arial"/>
          <w:sz w:val="24"/>
          <w:szCs w:val="24"/>
        </w:rPr>
        <w:lastRenderedPageBreak/>
        <w:t xml:space="preserve">enable cross-food comparisons. We analyzed 352 </w:t>
      </w:r>
      <w:proofErr w:type="gramStart"/>
      <w:r w:rsidRPr="00766B78">
        <w:rPr>
          <w:rFonts w:ascii="Arial" w:hAnsi="Arial" w:cs="Arial"/>
          <w:sz w:val="24"/>
          <w:szCs w:val="24"/>
        </w:rPr>
        <w:t>hub</w:t>
      </w:r>
      <w:proofErr w:type="gramEnd"/>
      <w:r w:rsidRPr="00766B78">
        <w:rPr>
          <w:rFonts w:ascii="Arial" w:hAnsi="Arial" w:cs="Arial"/>
          <w:sz w:val="24"/>
          <w:szCs w:val="24"/>
        </w:rPr>
        <w:t>→connected food pathways across all 11 subgroups.</w:t>
      </w:r>
    </w:p>
    <w:p w14:paraId="2C8A4067" w14:textId="77777777" w:rsidR="009B6D8F" w:rsidRPr="00766B78" w:rsidRDefault="00000000" w:rsidP="000E6FD4">
      <w:pPr>
        <w:jc w:val="both"/>
        <w:rPr>
          <w:rFonts w:ascii="Arial" w:hAnsi="Arial" w:cs="Arial"/>
          <w:b/>
          <w:bCs/>
          <w:i/>
          <w:iCs/>
          <w:sz w:val="24"/>
          <w:szCs w:val="24"/>
        </w:rPr>
      </w:pPr>
      <w:r w:rsidRPr="00766B78">
        <w:rPr>
          <w:rFonts w:ascii="Arial" w:hAnsi="Arial" w:cs="Arial"/>
          <w:b/>
          <w:bCs/>
          <w:i/>
          <w:iCs/>
          <w:sz w:val="24"/>
          <w:szCs w:val="24"/>
        </w:rPr>
        <w:t>Quantification of Hub Food Health Leverage</w:t>
      </w:r>
    </w:p>
    <w:p w14:paraId="4ED57134"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To assess the health leverage of hub foods—their direct associations with metabolic health—we employed multiple linear regression for six clinically relevant indicators: BMI, waist circumference, systolic blood pressure, fasting glucose, HDL-cholesterol, and triglycerides. For each hub food:</w:t>
      </w:r>
    </w:p>
    <w:p w14:paraId="6D64C429" w14:textId="2DD6E3AF" w:rsidR="009B6D8F" w:rsidRPr="00766B78" w:rsidRDefault="00000000" w:rsidP="000E6FD4">
      <w:pPr>
        <w:jc w:val="both"/>
        <w:rPr>
          <w:rFonts w:ascii="Arial"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Y</m:t>
              </m:r>
            </m:e>
            <m:sub>
              <m:r>
                <m:rPr>
                  <m:nor/>
                </m:rPr>
                <w:rPr>
                  <w:rFonts w:ascii="Arial" w:hAnsi="Arial" w:cs="Arial"/>
                  <w:sz w:val="24"/>
                  <w:szCs w:val="24"/>
                </w:rPr>
                <m:t>health</m:t>
              </m:r>
            </m:sub>
          </m:sSub>
          <m:r>
            <w:rPr>
              <w:rFonts w:ascii="Cambria Math" w:hAnsi="Cambria Math" w:cs="Arial"/>
              <w:sz w:val="24"/>
              <w:szCs w:val="24"/>
            </w:rPr>
            <m:t>=</m:t>
          </m:r>
          <m:sSub>
            <m:sSubPr>
              <m:ctrlPr>
                <w:rPr>
                  <w:rFonts w:ascii="Cambria Math" w:hAnsi="Cambria Math" w:cs="Arial"/>
                  <w:i/>
                  <w:sz w:val="24"/>
                  <w:szCs w:val="24"/>
                </w:rPr>
              </m:ctrlPr>
            </m:sSubPr>
            <m:e>
              <m:r>
                <m:rPr>
                  <m:sty m:val="p"/>
                </m:rPr>
                <w:rPr>
                  <w:rFonts w:ascii="Cambria Math" w:hAnsi="Cambria Math" w:cs="Arial"/>
                  <w:sz w:val="24"/>
                  <w:szCs w:val="24"/>
                </w:rPr>
                <m:t>β</m:t>
              </m:r>
            </m:e>
            <m:sub>
              <m:r>
                <w:rPr>
                  <w:rFonts w:ascii="Cambria Math" w:hAnsi="Cambria Math" w:cs="Arial"/>
                  <w:sz w:val="24"/>
                  <w:szCs w:val="24"/>
                </w:rPr>
                <m:t>0</m:t>
              </m:r>
            </m:sub>
          </m:sSub>
          <m:r>
            <w:rPr>
              <w:rFonts w:ascii="Cambria Math" w:hAnsi="Cambria Math" w:cs="Arial"/>
              <w:sz w:val="24"/>
              <w:szCs w:val="24"/>
            </w:rPr>
            <m:t>+</m:t>
          </m:r>
          <m:sSub>
            <m:sSubPr>
              <m:ctrlPr>
                <w:rPr>
                  <w:rFonts w:ascii="Cambria Math" w:hAnsi="Cambria Math" w:cs="Arial"/>
                  <w:i/>
                  <w:sz w:val="24"/>
                  <w:szCs w:val="24"/>
                </w:rPr>
              </m:ctrlPr>
            </m:sSubPr>
            <m:e>
              <m:r>
                <m:rPr>
                  <m:sty m:val="p"/>
                </m:rPr>
                <w:rPr>
                  <w:rFonts w:ascii="Cambria Math" w:hAnsi="Cambria Math" w:cs="Arial"/>
                  <w:sz w:val="24"/>
                  <w:szCs w:val="24"/>
                </w:rPr>
                <m:t>β</m:t>
              </m:r>
            </m:e>
            <m:sub>
              <m:r>
                <w:rPr>
                  <w:rFonts w:ascii="Cambria Math" w:hAnsi="Cambria Math" w:cs="Arial"/>
                  <w:sz w:val="24"/>
                  <w:szCs w:val="24"/>
                </w:rPr>
                <m:t>1</m:t>
              </m:r>
            </m:sub>
          </m:sSub>
          <m:d>
            <m:dPr>
              <m:ctrlPr>
                <w:rPr>
                  <w:rFonts w:ascii="Cambria Math" w:hAnsi="Cambria Math" w:cs="Arial"/>
                  <w:i/>
                  <w:sz w:val="24"/>
                  <w:szCs w:val="24"/>
                </w:rPr>
              </m:ctrlPr>
            </m:dPr>
            <m:e>
              <m:r>
                <m:rPr>
                  <m:nor/>
                </m:rPr>
                <w:rPr>
                  <w:rFonts w:ascii="Arial" w:hAnsi="Arial" w:cs="Arial"/>
                  <w:sz w:val="24"/>
                  <w:szCs w:val="24"/>
                </w:rPr>
                <m:t>hub consumption group</m:t>
              </m:r>
            </m:e>
          </m:d>
          <m:r>
            <w:rPr>
              <w:rFonts w:ascii="Cambria Math" w:hAnsi="Cambria Math" w:cs="Arial"/>
              <w:sz w:val="24"/>
              <w:szCs w:val="24"/>
            </w:rPr>
            <m:t>+</m:t>
          </m:r>
          <m:nary>
            <m:naryPr>
              <m:chr m:val="∑"/>
              <m:ctrlPr>
                <w:rPr>
                  <w:rFonts w:ascii="Cambria Math" w:hAnsi="Cambria Math" w:cs="Arial"/>
                  <w:sz w:val="24"/>
                  <w:szCs w:val="24"/>
                </w:rPr>
              </m:ctrlPr>
            </m:naryPr>
            <m:sub>
              <m:r>
                <w:rPr>
                  <w:rFonts w:ascii="Cambria Math" w:hAnsi="Cambria Math" w:cs="Arial"/>
                  <w:sz w:val="24"/>
                  <w:szCs w:val="24"/>
                </w:rPr>
                <m:t>k=2</m:t>
              </m:r>
              <m:ctrlPr>
                <w:rPr>
                  <w:rFonts w:ascii="Cambria Math" w:hAnsi="Cambria Math" w:cs="Arial"/>
                  <w:i/>
                  <w:sz w:val="24"/>
                  <w:szCs w:val="24"/>
                </w:rPr>
              </m:ctrlPr>
            </m:sub>
            <m:sup>
              <m:r>
                <w:rPr>
                  <w:rFonts w:ascii="Cambria Math" w:hAnsi="Cambria Math" w:cs="Arial"/>
                  <w:sz w:val="24"/>
                  <w:szCs w:val="24"/>
                </w:rPr>
                <m:t>10</m:t>
              </m:r>
              <m:ctrlPr>
                <w:rPr>
                  <w:rFonts w:ascii="Cambria Math" w:hAnsi="Cambria Math" w:cs="Arial"/>
                  <w:i/>
                  <w:sz w:val="24"/>
                  <w:szCs w:val="24"/>
                </w:rPr>
              </m:ctrlPr>
            </m:sup>
            <m:e>
              <m:sSub>
                <m:sSubPr>
                  <m:ctrlPr>
                    <w:rPr>
                      <w:rFonts w:ascii="Cambria Math" w:hAnsi="Cambria Math" w:cs="Arial"/>
                      <w:i/>
                      <w:sz w:val="24"/>
                      <w:szCs w:val="24"/>
                    </w:rPr>
                  </m:ctrlPr>
                </m:sSubPr>
                <m:e>
                  <m:r>
                    <m:rPr>
                      <m:sty m:val="p"/>
                    </m:rPr>
                    <w:rPr>
                      <w:rFonts w:ascii="Cambria Math" w:hAnsi="Cambria Math" w:cs="Arial"/>
                      <w:sz w:val="24"/>
                      <w:szCs w:val="24"/>
                    </w:rPr>
                    <m:t>β</m:t>
                  </m:r>
                </m:e>
                <m:sub>
                  <m:r>
                    <w:rPr>
                      <w:rFonts w:ascii="Cambria Math" w:hAnsi="Cambria Math" w:cs="Arial"/>
                      <w:sz w:val="24"/>
                      <w:szCs w:val="24"/>
                    </w:rPr>
                    <m:t>k</m:t>
                  </m:r>
                </m:sub>
              </m:sSub>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k</m:t>
                  </m:r>
                </m:sub>
              </m:sSub>
              <m:ctrlPr>
                <w:rPr>
                  <w:rFonts w:ascii="Cambria Math" w:hAnsi="Cambria Math" w:cs="Arial"/>
                  <w:i/>
                  <w:sz w:val="24"/>
                  <w:szCs w:val="24"/>
                </w:rPr>
              </m:ctrlPr>
            </m:e>
          </m:nary>
          <m:r>
            <w:rPr>
              <w:rFonts w:ascii="Cambria Math" w:hAnsi="Cambria Math" w:cs="Arial"/>
              <w:sz w:val="24"/>
              <w:szCs w:val="24"/>
            </w:rPr>
            <m:t>+</m:t>
          </m:r>
        </m:oMath>
      </m:oMathPara>
    </w:p>
    <w:p w14:paraId="4DC644CA"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where Y represents one of the six metabolic indicators. We analyzed 224 hub-health associations, comparing effect sizes between MetS- (prevention context) versus MetS+ (management context) subgroups. Cohen's d effect sizes were calculated.</w:t>
      </w:r>
    </w:p>
    <w:p w14:paraId="4A49E8CD" w14:textId="77777777" w:rsidR="009B6D8F" w:rsidRPr="00766B78" w:rsidRDefault="00000000" w:rsidP="000E6FD4">
      <w:pPr>
        <w:jc w:val="both"/>
        <w:rPr>
          <w:rFonts w:ascii="Arial" w:hAnsi="Arial" w:cs="Arial"/>
          <w:b/>
          <w:bCs/>
          <w:i/>
          <w:iCs/>
          <w:sz w:val="24"/>
          <w:szCs w:val="24"/>
        </w:rPr>
      </w:pPr>
      <w:r w:rsidRPr="00766B78">
        <w:rPr>
          <w:rFonts w:ascii="Arial" w:hAnsi="Arial" w:cs="Arial"/>
          <w:b/>
          <w:bCs/>
          <w:i/>
          <w:iCs/>
          <w:sz w:val="24"/>
          <w:szCs w:val="24"/>
        </w:rPr>
        <w:t>Statistical Analysis</w:t>
      </w:r>
    </w:p>
    <w:p w14:paraId="1074DE23"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Continuous variables are presented as mean ± SD; categorical variables as frequency (percentage). Between-group comparisons employed independent t-tests or chi-square tests. All regression analyses were two-sided with α = 0.05. Statistical analyses were performed using Python 3.9 and R 4.3.0.</w:t>
      </w:r>
    </w:p>
    <w:p w14:paraId="6E7A9A23" w14:textId="77777777" w:rsidR="009B6D8F" w:rsidRPr="00766B78" w:rsidRDefault="009B6D8F" w:rsidP="000E6FD4">
      <w:pPr>
        <w:jc w:val="both"/>
        <w:rPr>
          <w:rFonts w:ascii="Arial" w:hAnsi="Arial" w:cs="Arial"/>
          <w:sz w:val="24"/>
          <w:szCs w:val="24"/>
        </w:rPr>
      </w:pPr>
    </w:p>
    <w:p w14:paraId="58E739B3" w14:textId="77777777" w:rsidR="000E6FD4" w:rsidRPr="00766B78" w:rsidRDefault="000E6FD4">
      <w:pPr>
        <w:rPr>
          <w:rFonts w:ascii="Arial" w:hAnsi="Arial" w:cs="Arial"/>
          <w:sz w:val="24"/>
          <w:szCs w:val="24"/>
        </w:rPr>
      </w:pPr>
      <w:r w:rsidRPr="00766B78">
        <w:rPr>
          <w:rFonts w:ascii="Arial" w:hAnsi="Arial" w:cs="Arial"/>
          <w:sz w:val="24"/>
          <w:szCs w:val="24"/>
        </w:rPr>
        <w:br w:type="page"/>
      </w:r>
    </w:p>
    <w:p w14:paraId="70781E1C" w14:textId="3B8E307F" w:rsidR="009B6D8F" w:rsidRPr="00766B78" w:rsidRDefault="00000000" w:rsidP="000E6FD4">
      <w:pPr>
        <w:jc w:val="both"/>
        <w:rPr>
          <w:rFonts w:ascii="Arial" w:hAnsi="Arial" w:cs="Arial"/>
          <w:b/>
          <w:bCs/>
          <w:sz w:val="24"/>
          <w:szCs w:val="24"/>
        </w:rPr>
      </w:pPr>
      <w:r w:rsidRPr="00766B78">
        <w:rPr>
          <w:rFonts w:ascii="Arial" w:hAnsi="Arial" w:cs="Arial"/>
          <w:b/>
          <w:bCs/>
          <w:sz w:val="24"/>
          <w:szCs w:val="24"/>
        </w:rPr>
        <w:lastRenderedPageBreak/>
        <w:t>RESULTS</w:t>
      </w:r>
    </w:p>
    <w:p w14:paraId="4B27F981" w14:textId="77777777" w:rsidR="009B6D8F" w:rsidRPr="00766B78" w:rsidRDefault="00000000" w:rsidP="000E6FD4">
      <w:pPr>
        <w:jc w:val="both"/>
        <w:rPr>
          <w:rFonts w:ascii="Arial" w:hAnsi="Arial" w:cs="Arial"/>
          <w:b/>
          <w:bCs/>
          <w:i/>
          <w:iCs/>
          <w:sz w:val="24"/>
          <w:szCs w:val="24"/>
        </w:rPr>
      </w:pPr>
      <w:r w:rsidRPr="00766B78">
        <w:rPr>
          <w:rFonts w:ascii="Arial" w:hAnsi="Arial" w:cs="Arial"/>
          <w:b/>
          <w:bCs/>
          <w:i/>
          <w:iCs/>
          <w:sz w:val="24"/>
          <w:szCs w:val="24"/>
        </w:rPr>
        <w:t>Study Population Characteristics</w:t>
      </w:r>
    </w:p>
    <w:p w14:paraId="579BA1E7"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The final analytical sample comprised 23,040 adults (mean age 51.2±12.8 years; 13,406 males, 9,634 females), including 17,101 MetS- individuals (74.2%) and 5,939 MetS+ individuals (25.8%). Comprehensive baseline characteristics are presented in Table S2.</w:t>
      </w:r>
    </w:p>
    <w:p w14:paraId="089F052C"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Compared to MetS- counterparts, MetS+ individuals exhibited markedly worse metabolic profiles across all demographic strata (all P&lt;0.001). Anthropometric measures: BMI was 3.0-8.0 kg/m² higher and waist circumference 8-19 cm higher in MetS+ groups. Blood pressure was consistently elevated (systolic: +12 mmHg; diastolic: +8 mmHg). Lipid profiles revealed triglycerides elevated by 74 mg/dL and HDL-C reduced by 11 mg/dL in MetS+ versus MetS- groups. Fasting glucose was approximately 17 mg/dL higher in MetS+ individuals.</w:t>
      </w:r>
    </w:p>
    <w:p w14:paraId="57960BD3" w14:textId="77777777" w:rsidR="009B6D8F" w:rsidRPr="00766B78" w:rsidRDefault="00000000" w:rsidP="000E6FD4">
      <w:pPr>
        <w:jc w:val="both"/>
        <w:rPr>
          <w:rFonts w:ascii="Arial" w:hAnsi="Arial" w:cs="Arial"/>
          <w:b/>
          <w:bCs/>
          <w:i/>
          <w:iCs/>
          <w:sz w:val="24"/>
          <w:szCs w:val="24"/>
        </w:rPr>
      </w:pPr>
      <w:r w:rsidRPr="00766B78">
        <w:rPr>
          <w:rFonts w:ascii="Arial" w:hAnsi="Arial" w:cs="Arial"/>
          <w:b/>
          <w:bCs/>
          <w:i/>
          <w:iCs/>
          <w:sz w:val="24"/>
          <w:szCs w:val="24"/>
        </w:rPr>
        <w:t>Network Structure Heterogeneity Across Sex-Age-MetS Strata</w:t>
      </w:r>
    </w:p>
    <w:p w14:paraId="32508940"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Gaussian graphical models revealed substantial heterogeneity in conditional dependency structure across demographic-metabolic strata (Figure 1; Table S3-S4). Network edge counts ranged from 10 to 18 (mean=14.3, SD=2.4), with edge density varying from 0.152 to 0.273 (mean=0.216, SD=0.034). Partial correlation strengths ranged from |ρ|=0.10 to |ρ|=0.78 (Table S4).</w:t>
      </w:r>
    </w:p>
    <w:p w14:paraId="56AE2FCB"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Network complexity differed systematically by MetS status within age-sex strata. Middle-aged males (40-59 years) exhibited the strongest MetS-specific differentiation: MetS+ networks contained 40% more edges (14 vs. 10, Δ=+4), indicating more densely interconnected dietary patterns. Higher network density in MetS+ suggests more rigid co-consumption of unhealthy foods.</w:t>
      </w:r>
    </w:p>
    <w:p w14:paraId="736C6CE3" w14:textId="77777777" w:rsidR="009B6D8F" w:rsidRPr="00766B78" w:rsidRDefault="00000000" w:rsidP="000E6FD4">
      <w:pPr>
        <w:jc w:val="both"/>
        <w:rPr>
          <w:rFonts w:ascii="Arial" w:hAnsi="Arial" w:cs="Arial"/>
          <w:b/>
          <w:bCs/>
          <w:i/>
          <w:iCs/>
          <w:sz w:val="24"/>
          <w:szCs w:val="24"/>
        </w:rPr>
      </w:pPr>
      <w:r w:rsidRPr="00766B78">
        <w:rPr>
          <w:rFonts w:ascii="Arial" w:hAnsi="Arial" w:cs="Arial"/>
          <w:b/>
          <w:bCs/>
          <w:i/>
          <w:iCs/>
          <w:sz w:val="24"/>
          <w:szCs w:val="24"/>
        </w:rPr>
        <w:t>Hub Food Identification: Universal and Group-Specific Patterns</w:t>
      </w:r>
    </w:p>
    <w:p w14:paraId="219A411E"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Hub food analysis revealed both universal risk patterns and critical group-specific variations (Figure 2; Supplementary Figure S1; Table S3). Fried foods emerged as the most frequent hub across all 11 subgroups (100%), followed by processed foods (10/11, 91%) and sugar-sweetened beverages (9/11, 82%). In stark contrast, traditional healthy foods showed lower hub frequencies: protein foods (8/11, 73%), fruits (4/11, 36%), vegetables (3/11, 27%), and grains (2/11, 18%). Hub connectivity varied substantially, with degree centrality values ranging from 0.182 to 0.455 (Table S3).</w:t>
      </w:r>
    </w:p>
    <w:p w14:paraId="35C0F118"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 xml:space="preserve">Critical group-specific hubs requiring tailored intervention strategies were identified. Among young male MetS+ individuals, grain products emerged as a </w:t>
      </w:r>
      <w:r w:rsidRPr="00766B78">
        <w:rPr>
          <w:rFonts w:ascii="Arial" w:hAnsi="Arial" w:cs="Arial"/>
          <w:sz w:val="24"/>
          <w:szCs w:val="24"/>
        </w:rPr>
        <w:lastRenderedPageBreak/>
        <w:t>key hub (degree centrality=0.273) with significant associations with triglycerides (+43.4 mg/dL, P=0.042). For middle-aged female MetS+ individuals, fried foods showed the highest centrality (degree=0.455) and were associated with increased waist circumference (+2.20 cm, P=0.016). Middle-aged male MetS+ individuals exhibited dual hubs of both fried foods and processed foods (both degree=0.364), suggesting the need for concurrent intervention on both food categories. In older female MetS+ individuals, protein foods and processed foods functioned as co-equal hubs (both degree=0.364), indicating their central role in this demographic's dietary network.</w:t>
      </w:r>
    </w:p>
    <w:p w14:paraId="45EDED5A"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Notably, protein foods exhibited a MetS-protective pattern: appearing as hubs in 100% of MetS- groups (6/6) but only 40% of MetS+ groups (2/5), suggesting that protein-centric dietary patterns may play a protective role in metabolic health maintenance (P&lt;0.01 for MetS- vs. MetS+ difference, Fisher's exact test).</w:t>
      </w:r>
    </w:p>
    <w:p w14:paraId="53B7620C" w14:textId="77777777" w:rsidR="009B6D8F" w:rsidRPr="00766B78" w:rsidRDefault="00000000" w:rsidP="000E6FD4">
      <w:pPr>
        <w:jc w:val="both"/>
        <w:rPr>
          <w:rFonts w:ascii="Arial" w:hAnsi="Arial" w:cs="Arial"/>
          <w:b/>
          <w:bCs/>
          <w:i/>
          <w:iCs/>
          <w:sz w:val="24"/>
          <w:szCs w:val="24"/>
        </w:rPr>
      </w:pPr>
      <w:r w:rsidRPr="00766B78">
        <w:rPr>
          <w:rFonts w:ascii="Arial" w:hAnsi="Arial" w:cs="Arial"/>
          <w:b/>
          <w:bCs/>
          <w:i/>
          <w:iCs/>
          <w:sz w:val="24"/>
          <w:szCs w:val="24"/>
        </w:rPr>
        <w:t>Community Structure and Dietary Pattern Modularity</w:t>
      </w:r>
    </w:p>
    <w:p w14:paraId="3D3943B8"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Louvain community detection identified 3-5 communities per network (mean=3.7, SD=0.8), with modularity scores ranging from 0.432 to 0.618 (mean=0.530, SD=0.056) (Supplementary Figure S2; Table S5). MetS- groups exhibited consistently higher modularity, suggesting that metabolically healthy individuals maintain more clearly segmented dietary patterns.</w:t>
      </w:r>
    </w:p>
    <w:p w14:paraId="58E7D01F"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Three primary dietary patterns emerged consistently: (1) Traditional Korean Diet Pattern (grains, vegetables, protein foods, dairy, fruits): present in all 11 networks; (2) Western/Processed Food Pattern (processed foods, fried foods, high-fat meat, sugar-sweetened beverages, sweets): present in all 11 networks, higher internal density in MetS+ groups; (3) High-Sodium Pattern (salty foods, added salt): independent community in 9/11 networks.</w:t>
      </w:r>
    </w:p>
    <w:p w14:paraId="50280CC7" w14:textId="77777777" w:rsidR="009B6D8F" w:rsidRPr="00766B78" w:rsidRDefault="00000000" w:rsidP="000E6FD4">
      <w:pPr>
        <w:jc w:val="both"/>
        <w:rPr>
          <w:rFonts w:ascii="Arial" w:hAnsi="Arial" w:cs="Arial"/>
          <w:b/>
          <w:bCs/>
          <w:i/>
          <w:iCs/>
          <w:sz w:val="24"/>
          <w:szCs w:val="24"/>
        </w:rPr>
      </w:pPr>
      <w:r w:rsidRPr="00766B78">
        <w:rPr>
          <w:rFonts w:ascii="Arial" w:hAnsi="Arial" w:cs="Arial"/>
          <w:b/>
          <w:bCs/>
          <w:i/>
          <w:iCs/>
          <w:sz w:val="24"/>
          <w:szCs w:val="24"/>
        </w:rPr>
        <w:t>Network Leverage: Cascading Effects of Hub Foods on Connected Foods</w:t>
      </w:r>
    </w:p>
    <w:p w14:paraId="2B7F0E21"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 xml:space="preserve">Analysis of hub food network leverage revealed widespread cascading effects on consumption of connected foods (Table 1). Across 11 subgroups, we analyzed 352 </w:t>
      </w:r>
      <w:proofErr w:type="gramStart"/>
      <w:r w:rsidRPr="00766B78">
        <w:rPr>
          <w:rFonts w:ascii="Arial" w:hAnsi="Arial" w:cs="Arial"/>
          <w:sz w:val="24"/>
          <w:szCs w:val="24"/>
        </w:rPr>
        <w:t>hub</w:t>
      </w:r>
      <w:proofErr w:type="gramEnd"/>
      <w:r w:rsidRPr="00766B78">
        <w:rPr>
          <w:rFonts w:ascii="Arial" w:hAnsi="Arial" w:cs="Arial"/>
          <w:sz w:val="24"/>
          <w:szCs w:val="24"/>
        </w:rPr>
        <w:t>→connected food pathways, of which 241 (68%) showed statistically significant associations (P&lt;0.05). The majority (282 pathways, 80%) represented positive associations where high hub consumption associated with cascading increases in connected food consumption; 70 pathways (20%) showed negative associations reflecting substitution patterns.</w:t>
      </w:r>
    </w:p>
    <w:p w14:paraId="444DC7AD"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 xml:space="preserve">The mean standardized effect size was β=0.19 (SD=0.24), with a wide range from β=-0.45 to β=+1.04, indicating substantial heterogeneity in cascade </w:t>
      </w:r>
      <w:r w:rsidRPr="00766B78">
        <w:rPr>
          <w:rFonts w:ascii="Arial" w:hAnsi="Arial" w:cs="Arial"/>
          <w:sz w:val="24"/>
          <w:szCs w:val="24"/>
        </w:rPr>
        <w:lastRenderedPageBreak/>
        <w:t>magnitudes. Hub foods influenced an average of 4-5 connected foods per subgroup, demonstrating substantial network-wide leverage.</w:t>
      </w:r>
    </w:p>
    <w:p w14:paraId="76F220D2"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The strongest network leverage effects demonstrated substantial cascade magnitudes across diverse pathways. Vegetables showed the most robust positive cascade effect on protein food consumption in both young male MetS- (β=+1.04, 95% CI: 0.89-1.19, P&lt;0.001) and middle-aged male MetS- individuals (β=+1.04, 95% CI: 0.90-1.17, P&lt;0.001). Among MetS+ groups, processed foods demonstrated strong cascading effects on sugar-sweetened beverage consumption in middle-aged males (β=+0.90, 95% CI: 0.78-1.02, P&lt;0.001). High-fat meat consumption strongly predicted processed food intake in middle-aged female MetS+ individuals (β=+0.89, 95% CI: 0.75-1.02, P&lt;0.001). Similarly, fried food consumption showed substantial cascade effects on high-fat meat intake among middle-aged male MetS+ individuals (β=+0.87, 95% CI: 0.73-1.01, P&lt;0.001).</w:t>
      </w:r>
    </w:p>
    <w:p w14:paraId="41E2047C"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Examples of negative mediation (substitution patterns) emerged: high-fat meat consumption associated with reduced fruit intake (β=-0.45, P=0.005) in middle-aged female MetS+, and sugar-sweetened beverage consumption negatively associated with vegetable intake (β=-0.26, P&lt;0.001) in young female MetS-.</w:t>
      </w:r>
    </w:p>
    <w:p w14:paraId="16D2EDFA" w14:textId="77777777" w:rsidR="009B6D8F" w:rsidRPr="00766B78" w:rsidRDefault="00000000" w:rsidP="000E6FD4">
      <w:pPr>
        <w:jc w:val="both"/>
        <w:rPr>
          <w:rFonts w:ascii="Arial" w:hAnsi="Arial" w:cs="Arial"/>
          <w:b/>
          <w:bCs/>
          <w:i/>
          <w:iCs/>
          <w:sz w:val="24"/>
          <w:szCs w:val="24"/>
        </w:rPr>
      </w:pPr>
      <w:r w:rsidRPr="00766B78">
        <w:rPr>
          <w:rFonts w:ascii="Arial" w:hAnsi="Arial" w:cs="Arial"/>
          <w:b/>
          <w:bCs/>
          <w:i/>
          <w:iCs/>
          <w:sz w:val="24"/>
          <w:szCs w:val="24"/>
        </w:rPr>
        <w:t>Health Leverage: Direct Associations Between Hub Foods and Metabolic Indicators</w:t>
      </w:r>
    </w:p>
    <w:p w14:paraId="35005CFF"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Hub foods demonstrated direct associations with metabolic health indicators, constituting the second component of the dual leverage mechanism (Table 2). Across 224 hub-health associations tested, 21 showed statistically significant associations (9.4%; P&lt;0.05): 17 unfavorable (risk/aggravating) and 4 favorable (protective/alleviating) associations.</w:t>
      </w:r>
    </w:p>
    <w:p w14:paraId="16C4600C" w14:textId="1048D4C5" w:rsidR="009B6D8F" w:rsidRPr="00766B78" w:rsidRDefault="00000000" w:rsidP="000E6FD4">
      <w:pPr>
        <w:jc w:val="both"/>
        <w:rPr>
          <w:rFonts w:ascii="Arial" w:hAnsi="Arial" w:cs="Arial"/>
          <w:sz w:val="24"/>
          <w:szCs w:val="24"/>
        </w:rPr>
      </w:pPr>
      <w:r w:rsidRPr="00766B78">
        <w:rPr>
          <w:rFonts w:ascii="Arial" w:hAnsi="Arial" w:cs="Arial"/>
          <w:sz w:val="24"/>
          <w:szCs w:val="24"/>
        </w:rPr>
        <w:t>Among MetS- Groups (Prevention Context)</w:t>
      </w:r>
      <w:r w:rsidR="00B04C24" w:rsidRPr="00766B78">
        <w:rPr>
          <w:rFonts w:ascii="Arial" w:hAnsi="Arial" w:cs="Arial"/>
          <w:sz w:val="24"/>
          <w:szCs w:val="24"/>
        </w:rPr>
        <w:t>, w</w:t>
      </w:r>
      <w:r w:rsidRPr="00766B78">
        <w:rPr>
          <w:rFonts w:ascii="Arial" w:hAnsi="Arial" w:cs="Arial"/>
          <w:sz w:val="24"/>
          <w:szCs w:val="24"/>
        </w:rPr>
        <w:t>e observed 9 statistically significant associations: 7 risk associations and 2 protective associations. Risk hubs (fried foods, processed foods, sugar-sweetened beverages) associated with: BMI (Cohen's d=0.11-0.14, P&lt;0.05); waist circumference (d=0.14-0.18, P&lt;0.001); triglycerides (d=0.21-0.25, P≤0.032).</w:t>
      </w:r>
    </w:p>
    <w:p w14:paraId="119F6350" w14:textId="5925B2D3" w:rsidR="009B6D8F" w:rsidRPr="00766B78" w:rsidRDefault="00000000" w:rsidP="000E6FD4">
      <w:pPr>
        <w:jc w:val="both"/>
        <w:rPr>
          <w:rFonts w:ascii="Arial" w:hAnsi="Arial" w:cs="Arial"/>
          <w:sz w:val="24"/>
          <w:szCs w:val="24"/>
        </w:rPr>
      </w:pPr>
      <w:r w:rsidRPr="00766B78">
        <w:rPr>
          <w:rFonts w:ascii="Arial" w:hAnsi="Arial" w:cs="Arial"/>
          <w:sz w:val="24"/>
          <w:szCs w:val="24"/>
        </w:rPr>
        <w:t>Among MetS+ Groups (Disease Management Context)</w:t>
      </w:r>
      <w:r w:rsidR="00B04C24" w:rsidRPr="00766B78">
        <w:rPr>
          <w:rFonts w:ascii="Arial" w:hAnsi="Arial" w:cs="Arial"/>
          <w:sz w:val="24"/>
          <w:szCs w:val="24"/>
        </w:rPr>
        <w:t>, h</w:t>
      </w:r>
      <w:r w:rsidRPr="00766B78">
        <w:rPr>
          <w:rFonts w:ascii="Arial" w:hAnsi="Arial" w:cs="Arial"/>
          <w:sz w:val="24"/>
          <w:szCs w:val="24"/>
        </w:rPr>
        <w:t xml:space="preserve">igh-risk hubs demonstrated moderate-to-large adverse effects in MetS+ groups. Fried foods showed particularly strong associations with waist circumference, with increases ranging from +2.20 to +3.26 cm (Cohen's d=0.29-0.43, P≤0.016) and corresponding BMI increases (d=0.27-0.36, P≤0.076). Processed foods were associated with waist circumference increases of +2.88 cm (d=0.38, P=0.038) and BMI increases (d=0.35, P=0.076). Grain products in young male MetS+ </w:t>
      </w:r>
      <w:r w:rsidRPr="00766B78">
        <w:rPr>
          <w:rFonts w:ascii="Arial" w:hAnsi="Arial" w:cs="Arial"/>
          <w:sz w:val="24"/>
          <w:szCs w:val="24"/>
        </w:rPr>
        <w:lastRenderedPageBreak/>
        <w:t>individuals showed significant associations with triglyceride elevation (+43.4 mg/dL, d=0.35, P=0.042). Protein foods exhibited context-dependent effects, with associations including waist circumference increases of +1.44 cm and BMI elevation in middle-aged male MetS+ individuals (d=0.15-0.19, P≤0.043), likely reflecting the impact of high-fat protein sources in this demographic.</w:t>
      </w:r>
    </w:p>
    <w:p w14:paraId="2AB1B746"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Effect sizes in MetS+ groups were consistently larger than in MetS- groups (mean Cohen's d amplification: ~1.5-2.0-fold), suggesting individuals with established metabolic dysregulation exhibit heightened dietary susceptibility.</w:t>
      </w:r>
    </w:p>
    <w:p w14:paraId="7ED0CFA5" w14:textId="77777777" w:rsidR="009B6D8F" w:rsidRPr="00766B78" w:rsidRDefault="00000000" w:rsidP="000E6FD4">
      <w:pPr>
        <w:jc w:val="both"/>
        <w:rPr>
          <w:rFonts w:ascii="Arial" w:hAnsi="Arial" w:cs="Arial"/>
          <w:b/>
          <w:bCs/>
          <w:i/>
          <w:iCs/>
          <w:sz w:val="24"/>
          <w:szCs w:val="24"/>
        </w:rPr>
      </w:pPr>
      <w:r w:rsidRPr="00766B78">
        <w:rPr>
          <w:rFonts w:ascii="Arial" w:hAnsi="Arial" w:cs="Arial"/>
          <w:b/>
          <w:bCs/>
          <w:i/>
          <w:iCs/>
          <w:sz w:val="24"/>
          <w:szCs w:val="24"/>
        </w:rPr>
        <w:t>Integrated Dual Leverage Mechanism: Network and Health Pathways</w:t>
      </w:r>
    </w:p>
    <w:p w14:paraId="2BBAD744" w14:textId="1429AEC7" w:rsidR="009B6D8F" w:rsidRPr="00766B78" w:rsidRDefault="00000000" w:rsidP="000E6FD4">
      <w:pPr>
        <w:jc w:val="both"/>
        <w:rPr>
          <w:rFonts w:ascii="Arial" w:hAnsi="Arial" w:cs="Arial"/>
          <w:sz w:val="24"/>
          <w:szCs w:val="24"/>
        </w:rPr>
      </w:pPr>
      <w:r w:rsidRPr="00766B78">
        <w:rPr>
          <w:rFonts w:ascii="Arial" w:hAnsi="Arial" w:cs="Arial"/>
          <w:sz w:val="24"/>
          <w:szCs w:val="24"/>
        </w:rPr>
        <w:t>Integration of network-level and health-level analyses reveals a dual leverage mechanism whereby hub food modulation simultaneously influences dietary patterns and metabolic health through two synergistic pathways (Figure 3)</w:t>
      </w:r>
      <w:r w:rsidR="00B04C24" w:rsidRPr="00766B78">
        <w:rPr>
          <w:rFonts w:ascii="Arial" w:hAnsi="Arial" w:cs="Arial"/>
          <w:sz w:val="24"/>
          <w:szCs w:val="24"/>
        </w:rPr>
        <w:t xml:space="preserve">. </w:t>
      </w:r>
    </w:p>
    <w:p w14:paraId="14A7B0A7" w14:textId="066F7F2E" w:rsidR="009B6D8F" w:rsidRPr="00766B78" w:rsidRDefault="00B04C24" w:rsidP="000E6FD4">
      <w:pPr>
        <w:jc w:val="both"/>
        <w:rPr>
          <w:rFonts w:ascii="Arial" w:hAnsi="Arial" w:cs="Arial"/>
          <w:sz w:val="24"/>
          <w:szCs w:val="24"/>
        </w:rPr>
      </w:pPr>
      <w:r w:rsidRPr="00766B78">
        <w:rPr>
          <w:rFonts w:ascii="Arial" w:hAnsi="Arial" w:cs="Arial"/>
          <w:bCs/>
          <w:sz w:val="24"/>
          <w:szCs w:val="24"/>
        </w:rPr>
        <w:t>In the first Pathway, Network Leverage (Behavioral Level),</w:t>
      </w:r>
      <w:r w:rsidRPr="00766B78">
        <w:rPr>
          <w:rFonts w:ascii="Arial" w:hAnsi="Arial" w:cs="Arial"/>
          <w:b/>
          <w:sz w:val="24"/>
          <w:szCs w:val="24"/>
        </w:rPr>
        <w:t xml:space="preserve"> </w:t>
      </w:r>
      <w:r w:rsidRPr="00766B78">
        <w:rPr>
          <w:rFonts w:ascii="Arial" w:hAnsi="Arial" w:cs="Arial"/>
          <w:sz w:val="24"/>
          <w:szCs w:val="24"/>
        </w:rPr>
        <w:t xml:space="preserve">Hub modulation → cascading changes in 4-5 connected foods (mean β=0.19; 80% positive associations; 68% statistically significant). </w:t>
      </w:r>
      <w:r w:rsidRPr="00766B78">
        <w:rPr>
          <w:rFonts w:ascii="Arial" w:hAnsi="Arial" w:cs="Arial"/>
          <w:bCs/>
          <w:sz w:val="24"/>
          <w:szCs w:val="24"/>
        </w:rPr>
        <w:t xml:space="preserve">Second pathway is Health Leverage (Physiological Level), which is </w:t>
      </w:r>
      <w:r w:rsidRPr="00766B78">
        <w:rPr>
          <w:rFonts w:ascii="Arial" w:hAnsi="Arial" w:cs="Arial"/>
          <w:sz w:val="24"/>
          <w:szCs w:val="24"/>
        </w:rPr>
        <w:t xml:space="preserve">Hub modulation → changes in key metabolic indicators, with ~1.5-2.0-fold effect amplification in </w:t>
      </w:r>
      <w:proofErr w:type="spellStart"/>
      <w:r w:rsidRPr="00766B78">
        <w:rPr>
          <w:rFonts w:ascii="Arial" w:hAnsi="Arial" w:cs="Arial"/>
          <w:sz w:val="24"/>
          <w:szCs w:val="24"/>
        </w:rPr>
        <w:t>MetS</w:t>
      </w:r>
      <w:proofErr w:type="spellEnd"/>
      <w:r w:rsidRPr="00766B78">
        <w:rPr>
          <w:rFonts w:ascii="Arial" w:hAnsi="Arial" w:cs="Arial"/>
          <w:sz w:val="24"/>
          <w:szCs w:val="24"/>
        </w:rPr>
        <w:t xml:space="preserve">+ versus </w:t>
      </w:r>
      <w:proofErr w:type="spellStart"/>
      <w:r w:rsidRPr="00766B78">
        <w:rPr>
          <w:rFonts w:ascii="Arial" w:hAnsi="Arial" w:cs="Arial"/>
          <w:sz w:val="24"/>
          <w:szCs w:val="24"/>
        </w:rPr>
        <w:t>MetS</w:t>
      </w:r>
      <w:proofErr w:type="spellEnd"/>
      <w:r w:rsidRPr="00766B78">
        <w:rPr>
          <w:rFonts w:ascii="Arial" w:hAnsi="Arial" w:cs="Arial"/>
          <w:sz w:val="24"/>
          <w:szCs w:val="24"/>
        </w:rPr>
        <w:t xml:space="preserve">- groups. </w:t>
      </w:r>
      <w:r w:rsidRPr="00766B78">
        <w:rPr>
          <w:rFonts w:ascii="Arial" w:hAnsi="Arial" w:cs="Arial"/>
          <w:bCs/>
          <w:sz w:val="24"/>
          <w:szCs w:val="24"/>
        </w:rPr>
        <w:t>When two-stage cascade,</w:t>
      </w:r>
      <w:r w:rsidRPr="00766B78">
        <w:rPr>
          <w:rFonts w:ascii="Arial" w:hAnsi="Arial" w:cs="Arial"/>
          <w:b/>
          <w:sz w:val="24"/>
          <w:szCs w:val="24"/>
        </w:rPr>
        <w:t xml:space="preserve"> </w:t>
      </w:r>
      <w:r w:rsidRPr="00766B78">
        <w:rPr>
          <w:rFonts w:ascii="Arial" w:hAnsi="Arial" w:cs="Arial"/>
          <w:sz w:val="24"/>
          <w:szCs w:val="24"/>
        </w:rPr>
        <w:t>Hub modulation → dietary pattern improvement (Stage 1) → metabolic health improvement (Stage 2). This cascade call efficiency advantage, which is traditional interventions attempt to modify all 12 food groups simultaneously, imposing substantial cognitive load. Hub-focused interventions target only 3-5 strategic foods, achieving 75% complexity reduction (from 12 to 3-5 targets) while maintaining clinical relevance through dual leverage cascades.</w:t>
      </w:r>
    </w:p>
    <w:p w14:paraId="0030C2B9" w14:textId="77777777" w:rsidR="009B6D8F" w:rsidRPr="00766B78" w:rsidRDefault="00000000" w:rsidP="000E6FD4">
      <w:pPr>
        <w:jc w:val="both"/>
        <w:rPr>
          <w:rFonts w:ascii="Arial" w:hAnsi="Arial" w:cs="Arial"/>
          <w:b/>
          <w:bCs/>
          <w:i/>
          <w:iCs/>
          <w:sz w:val="24"/>
          <w:szCs w:val="24"/>
        </w:rPr>
      </w:pPr>
      <w:r w:rsidRPr="00766B78">
        <w:rPr>
          <w:rFonts w:ascii="Arial" w:hAnsi="Arial" w:cs="Arial"/>
          <w:b/>
          <w:bCs/>
          <w:i/>
          <w:iCs/>
          <w:sz w:val="24"/>
          <w:szCs w:val="24"/>
        </w:rPr>
        <w:t>Personalized Strategies Emerging from Stratified Analysis</w:t>
      </w:r>
    </w:p>
    <w:p w14:paraId="69AAF4B1" w14:textId="77777777" w:rsidR="009B6D8F" w:rsidRPr="00766B78" w:rsidRDefault="00000000" w:rsidP="000E6FD4">
      <w:pPr>
        <w:jc w:val="both"/>
        <w:rPr>
          <w:rFonts w:ascii="Arial" w:hAnsi="Arial" w:cs="Arial"/>
          <w:sz w:val="24"/>
          <w:szCs w:val="24"/>
        </w:rPr>
      </w:pPr>
      <w:r w:rsidRPr="00766B78">
        <w:rPr>
          <w:rFonts w:ascii="Arial" w:hAnsi="Arial" w:cs="Arial"/>
          <w:i/>
          <w:sz w:val="24"/>
          <w:szCs w:val="24"/>
        </w:rPr>
        <w:t xml:space="preserve">Universal Patterns: </w:t>
      </w:r>
      <w:r w:rsidRPr="00766B78">
        <w:rPr>
          <w:rFonts w:ascii="Arial" w:hAnsi="Arial" w:cs="Arial"/>
          <w:sz w:val="24"/>
          <w:szCs w:val="24"/>
        </w:rPr>
        <w:t>Fried foods (100% of groups), processed foods (91%), and sugar-sweetened beverages (82%) emerged as universal risk hubs requiring reduction across demographic-metabolic subgroups.</w:t>
      </w:r>
    </w:p>
    <w:p w14:paraId="5E7A2110"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 xml:space="preserve">Group-specific priorities emerged from the stratified analysis, guiding tailored intervention strategies. For young male MetS+ individuals, prioritizing grain quality improvement—specifically replacing refined grains with whole grains—addresses the substantial triglyceride impact (+43.4 mg/dL) observed in this group. Middle-aged female MetS+ individuals should prioritize fried food elimination given this food's highest centrality (0.455) and significant waist circumference impact (+2.20 cm). Middle-aged male MetS+ individuals require simultaneous intervention addressing the dual hubs of fried foods and processed </w:t>
      </w:r>
      <w:r w:rsidRPr="00766B78">
        <w:rPr>
          <w:rFonts w:ascii="Arial" w:hAnsi="Arial" w:cs="Arial"/>
          <w:sz w:val="24"/>
          <w:szCs w:val="24"/>
        </w:rPr>
        <w:lastRenderedPageBreak/>
        <w:t>foods. Older adults with MetS+ should focus on protein source quality, distinguishing between high-fat and lean sources to optimize metabolic outcomes. For MetS- groups in the prevention context, a dual approach is recommended: minimizing unhealthy hubs to prevent metabolic deterioration while strengthening healthy hubs to build metabolic resilience. MetS+ groups in the disease management context require strict limitation of high-risk hubs, given the amplified adverse effects (~2-fold stronger than MetS-) observed in these individuals.</w:t>
      </w:r>
    </w:p>
    <w:p w14:paraId="47DD0F74" w14:textId="03A24176" w:rsidR="009B6D8F" w:rsidRPr="00766B78" w:rsidRDefault="00000000" w:rsidP="000E6FD4">
      <w:pPr>
        <w:jc w:val="both"/>
        <w:rPr>
          <w:rFonts w:ascii="Arial" w:hAnsi="Arial" w:cs="Arial"/>
          <w:sz w:val="24"/>
          <w:szCs w:val="24"/>
        </w:rPr>
      </w:pPr>
      <w:r w:rsidRPr="00766B78">
        <w:rPr>
          <w:rFonts w:ascii="Arial" w:hAnsi="Arial" w:cs="Arial"/>
          <w:sz w:val="24"/>
          <w:szCs w:val="24"/>
        </w:rPr>
        <w:t>These personalized strategies balance universal evidence-based recommendations with critical group-specific priorities, operationalizing the precision nutrition paradigm.</w:t>
      </w:r>
    </w:p>
    <w:p w14:paraId="1F730AEA" w14:textId="77777777" w:rsidR="00BB7930" w:rsidRPr="00766B78" w:rsidRDefault="00BB7930">
      <w:pPr>
        <w:rPr>
          <w:rFonts w:ascii="Arial" w:hAnsi="Arial" w:cs="Arial"/>
          <w:b/>
          <w:bCs/>
          <w:sz w:val="24"/>
          <w:szCs w:val="24"/>
        </w:rPr>
      </w:pPr>
      <w:r w:rsidRPr="00766B78">
        <w:rPr>
          <w:rFonts w:ascii="Arial" w:hAnsi="Arial" w:cs="Arial"/>
          <w:b/>
          <w:bCs/>
          <w:sz w:val="24"/>
          <w:szCs w:val="24"/>
        </w:rPr>
        <w:br w:type="page"/>
      </w:r>
    </w:p>
    <w:p w14:paraId="3108BD33" w14:textId="148723BF" w:rsidR="00BB7930" w:rsidRPr="00766B78" w:rsidRDefault="00BB7930" w:rsidP="00BB7930">
      <w:pPr>
        <w:jc w:val="both"/>
        <w:rPr>
          <w:rFonts w:ascii="Arial" w:hAnsi="Arial" w:cs="Arial"/>
          <w:b/>
          <w:bCs/>
          <w:sz w:val="24"/>
          <w:szCs w:val="24"/>
        </w:rPr>
      </w:pPr>
      <w:r w:rsidRPr="00766B78">
        <w:rPr>
          <w:rFonts w:ascii="Arial" w:hAnsi="Arial" w:cs="Arial"/>
          <w:b/>
          <w:bCs/>
          <w:sz w:val="24"/>
          <w:szCs w:val="24"/>
        </w:rPr>
        <w:lastRenderedPageBreak/>
        <w:t>Discussion</w:t>
      </w:r>
    </w:p>
    <w:p w14:paraId="65CA62F2" w14:textId="44635034" w:rsidR="009B6D8F" w:rsidRPr="00766B78" w:rsidRDefault="00000000" w:rsidP="00BB7930">
      <w:pPr>
        <w:jc w:val="both"/>
        <w:rPr>
          <w:rFonts w:ascii="Arial" w:hAnsi="Arial" w:cs="Arial"/>
          <w:b/>
          <w:bCs/>
          <w:i/>
          <w:iCs/>
          <w:sz w:val="24"/>
          <w:szCs w:val="24"/>
        </w:rPr>
      </w:pPr>
      <w:r w:rsidRPr="00766B78">
        <w:rPr>
          <w:rFonts w:ascii="Arial" w:hAnsi="Arial" w:cs="Arial"/>
          <w:b/>
          <w:bCs/>
          <w:i/>
          <w:iCs/>
          <w:sz w:val="24"/>
          <w:szCs w:val="24"/>
        </w:rPr>
        <w:t>Priority Directions for Future Research</w:t>
      </w:r>
    </w:p>
    <w:p w14:paraId="1F7E7DE7" w14:textId="77777777" w:rsidR="00B04C24" w:rsidRPr="00766B78" w:rsidRDefault="00B04C24" w:rsidP="00B04C24">
      <w:pPr>
        <w:jc w:val="both"/>
        <w:rPr>
          <w:rFonts w:ascii="Arial" w:hAnsi="Arial" w:cs="Arial"/>
          <w:sz w:val="24"/>
          <w:szCs w:val="24"/>
        </w:rPr>
      </w:pPr>
      <w:r w:rsidRPr="00766B78">
        <w:rPr>
          <w:rFonts w:ascii="Arial" w:hAnsi="Arial" w:cs="Arial"/>
          <w:sz w:val="24"/>
          <w:szCs w:val="24"/>
        </w:rPr>
        <w:t>Several specific research priorities would substantially advance this field toward clinical translation. First and most urgently, pragmatic randomized controlled trials comparing hub-focused interventions (targeting 3-5 foods identified through network analysis) versus comprehensive dietary counseling (addressing all food groups) versus enhanced usual care are needed. Primary outcomes should include clinical metabolic indicators (hemoglobin A1c, lipid profiles, blood pressure, anthropometrics) assessed at 6 and 12 months. Secondary outcomes should encompass adherence rates (objective via 24-hour recalls, subjective via self-report), patient-reported outcomes (dietary satisfaction, perceived burden, quality of life), and economic outcomes (healthcare costs, productivity). Embedded process evaluations would identify intervention mechanisms and inform optimization.</w:t>
      </w:r>
    </w:p>
    <w:p w14:paraId="52B0BF43" w14:textId="77777777" w:rsidR="00B04C24" w:rsidRPr="00766B78" w:rsidRDefault="00B04C24" w:rsidP="00B04C24">
      <w:pPr>
        <w:jc w:val="both"/>
        <w:rPr>
          <w:rFonts w:ascii="Arial" w:hAnsi="Arial" w:cs="Arial"/>
          <w:sz w:val="24"/>
          <w:szCs w:val="24"/>
        </w:rPr>
      </w:pPr>
      <w:r w:rsidRPr="00766B78">
        <w:rPr>
          <w:rFonts w:ascii="Arial" w:hAnsi="Arial" w:cs="Arial"/>
          <w:sz w:val="24"/>
          <w:szCs w:val="24"/>
        </w:rPr>
        <w:t>Second, prospective cohort studies with repeated dietary assessments (annually or biennially) and metabolic measurements would enable temporal analysis of hub food trajectory-outcome associations. Time-varying network models could identify critical transition points where dietary patterns shift, potentially revealing windows of heightened intervention receptivity or metabolic vulnerability. Examining whether changes in hub food consumption precede metabolic deterioration or vice versa would clarify causal directionality. Joint modeling of dietary network evolution and metabolic trajectory could reveal dynamic interplay between dietary patterns and metabolic health.</w:t>
      </w:r>
    </w:p>
    <w:p w14:paraId="61A65DF5" w14:textId="77777777" w:rsidR="00B04C24" w:rsidRPr="00766B78" w:rsidRDefault="00B04C24" w:rsidP="00B04C24">
      <w:pPr>
        <w:jc w:val="both"/>
        <w:rPr>
          <w:rFonts w:ascii="Arial" w:hAnsi="Arial" w:cs="Arial"/>
          <w:sz w:val="24"/>
          <w:szCs w:val="24"/>
        </w:rPr>
      </w:pPr>
      <w:r w:rsidRPr="00766B78">
        <w:rPr>
          <w:rFonts w:ascii="Arial" w:hAnsi="Arial" w:cs="Arial"/>
          <w:sz w:val="24"/>
          <w:szCs w:val="24"/>
        </w:rPr>
        <w:t>Third, multi-omics integration merging dietary network data with metabolomics, metagenomics, and genetics would elucidate biological mechanisms and individual variation. Metabolomic profiling could identify biomarkers mediating hub food-metabolic outcome associations, revealing specific metabolic perturbations induced by hub foods. Metagenomic sequencing could examine whether hub food effects are mediated through microbiome composition or function—for example, whether processed food consumption reduces beneficial bacterial taxa or increases inflammatory species. Pharmacogenomics approaches could identify genetic variants modifying hub food effects, enabling genetic risk-stratified interventions.</w:t>
      </w:r>
    </w:p>
    <w:p w14:paraId="466F5A11" w14:textId="77777777" w:rsidR="00B04C24" w:rsidRPr="00766B78" w:rsidRDefault="00B04C24" w:rsidP="00B04C24">
      <w:pPr>
        <w:jc w:val="both"/>
        <w:rPr>
          <w:rFonts w:ascii="Arial" w:hAnsi="Arial" w:cs="Arial"/>
          <w:sz w:val="24"/>
          <w:szCs w:val="24"/>
        </w:rPr>
      </w:pPr>
      <w:r w:rsidRPr="00766B78">
        <w:rPr>
          <w:rFonts w:ascii="Arial" w:hAnsi="Arial" w:cs="Arial"/>
          <w:sz w:val="24"/>
          <w:szCs w:val="24"/>
        </w:rPr>
        <w:t xml:space="preserve">Fourth, implementation science research should address optimal intervention delivery. What messaging frames most effectively motivate hub food reduction—health threats, social norms, environmental sustainability? What behavioral change techniques optimally support hub food substitution—action planning, </w:t>
      </w:r>
      <w:r w:rsidRPr="00766B78">
        <w:rPr>
          <w:rFonts w:ascii="Arial" w:hAnsi="Arial" w:cs="Arial"/>
          <w:sz w:val="24"/>
          <w:szCs w:val="24"/>
        </w:rPr>
        <w:lastRenderedPageBreak/>
        <w:t>coping planning, habit formation strategies? How can food environment modifications facilitate hub food avoidance—workplace cafeteria policies, grocery store layout, menu labeling? Can digital health technologies (smartphone apps for hub food tracking, wearable devices detecting eating occasions, artificial intelligence-powered meal planning) enhance intervention delivery, monitoring, and personalization?</w:t>
      </w:r>
    </w:p>
    <w:p w14:paraId="13DE0018" w14:textId="77777777" w:rsidR="00B04C24" w:rsidRPr="00766B78" w:rsidRDefault="00B04C24" w:rsidP="00B04C24">
      <w:pPr>
        <w:jc w:val="both"/>
        <w:rPr>
          <w:rFonts w:ascii="Arial" w:hAnsi="Arial" w:cs="Arial"/>
          <w:b/>
          <w:bCs/>
          <w:i/>
          <w:iCs/>
          <w:sz w:val="24"/>
          <w:szCs w:val="24"/>
        </w:rPr>
      </w:pPr>
      <w:r w:rsidRPr="00766B78">
        <w:rPr>
          <w:rFonts w:ascii="Arial" w:hAnsi="Arial" w:cs="Arial"/>
          <w:b/>
          <w:bCs/>
          <w:i/>
          <w:iCs/>
          <w:sz w:val="24"/>
          <w:szCs w:val="24"/>
        </w:rPr>
        <w:t>Limitations and Future Directions</w:t>
      </w:r>
    </w:p>
    <w:p w14:paraId="05975EFC" w14:textId="77777777" w:rsidR="00B04C24" w:rsidRPr="00766B78" w:rsidRDefault="00B04C24" w:rsidP="00B04C24">
      <w:pPr>
        <w:jc w:val="both"/>
        <w:rPr>
          <w:rFonts w:ascii="Arial" w:hAnsi="Arial" w:cs="Arial"/>
          <w:sz w:val="24"/>
          <w:szCs w:val="24"/>
        </w:rPr>
      </w:pPr>
      <w:r w:rsidRPr="00766B78">
        <w:rPr>
          <w:rFonts w:ascii="Arial" w:hAnsi="Arial" w:cs="Arial"/>
          <w:sz w:val="24"/>
          <w:szCs w:val="24"/>
        </w:rPr>
        <w:t>Several limitations warrant acknowledgment and suggest directions for future research. First and most fundamentally, the cross-sectional design precludes causal inference regarding directionality of hub food effects. While our dual leverage framework is conceptually plausible and supported by extensive mechanistic literature, we cannot definitively establish that hub food modification would cause predicted cascade and metabolic changes. Reverse causation remains possible: metabolic syndrome could alter dietary patterns such that previously non-hub foods become hubs. Longitudinal cohort studies with repeated dietary and metabolic assessments would enable time-lagged analyses to establish temporal precedence. More definitive still, randomized controlled trials comparing hub-focused interventions versus comprehensive dietary counseling versus usual care would establish causal efficacy, cost-effectiveness, and relative adherence rates.</w:t>
      </w:r>
    </w:p>
    <w:p w14:paraId="173388C0" w14:textId="77777777" w:rsidR="00B04C24" w:rsidRPr="00766B78" w:rsidRDefault="00B04C24" w:rsidP="00B04C24">
      <w:pPr>
        <w:jc w:val="both"/>
        <w:rPr>
          <w:rFonts w:ascii="Arial" w:hAnsi="Arial" w:cs="Arial"/>
          <w:sz w:val="24"/>
          <w:szCs w:val="24"/>
        </w:rPr>
      </w:pPr>
      <w:r w:rsidRPr="00766B78">
        <w:rPr>
          <w:rFonts w:ascii="Arial" w:hAnsi="Arial" w:cs="Arial"/>
          <w:sz w:val="24"/>
          <w:szCs w:val="24"/>
        </w:rPr>
        <w:t>Second, dietary assessment via single 24-hour recall, while conducted by trained dietitians following standardized protocols, does not capture day-to-day intra-individual variability or habitual long-term intake patterns. Multiple 24-hour recalls (ideally 3-7 days including weekends) or validated food frequency questionnaires would provide more stable estimates of usual dietary patterns. The large sample size and focus on group-level network structure rather than individual-level predictions partially mitigates this limitation. Additionally, the consistency of our findings with prior research using different dietary assessment methods (food frequency questionnaires, multiple recalls) supports validity. Future studies employing multiple assessment modalities could examine whether network structures remain stable across methods or whether method-specific biases influence hub identification.</w:t>
      </w:r>
    </w:p>
    <w:p w14:paraId="6E4DCE48" w14:textId="77777777" w:rsidR="00B04C24" w:rsidRPr="00766B78" w:rsidRDefault="00B04C24" w:rsidP="00B04C24">
      <w:pPr>
        <w:jc w:val="both"/>
        <w:rPr>
          <w:rFonts w:ascii="Arial" w:hAnsi="Arial" w:cs="Arial"/>
          <w:sz w:val="24"/>
          <w:szCs w:val="24"/>
        </w:rPr>
      </w:pPr>
      <w:r w:rsidRPr="00766B78">
        <w:rPr>
          <w:rFonts w:ascii="Arial" w:hAnsi="Arial" w:cs="Arial"/>
          <w:sz w:val="24"/>
          <w:szCs w:val="24"/>
        </w:rPr>
        <w:t xml:space="preserve">Third, residual confounding remains possible despite adjustment for major covariates. Unmeasured factors potentially influencing both hub food consumption and metabolic outcomes include: detailed food environment characteristics (proximity to restaurants, supermarkets, convenience stores), granular socioeconomic factors beyond education and income (wealth, food security, neighborhood deprivation), cultural and religious food practices, </w:t>
      </w:r>
      <w:r w:rsidRPr="00766B78">
        <w:rPr>
          <w:rFonts w:ascii="Arial" w:hAnsi="Arial" w:cs="Arial"/>
          <w:sz w:val="24"/>
          <w:szCs w:val="24"/>
        </w:rPr>
        <w:lastRenderedPageBreak/>
        <w:t>psychosocial factors (stress, depression, eating behaviors), sleep patterns (known to influence both dietary choices and metabolic health), and genetic variants affecting taste preferences or metabolic capacity. Advanced causal inference methods including propensity score matching, instrumental variable approaches, or sibling/twin designs could strengthen causal interpretations in observational data.</w:t>
      </w:r>
    </w:p>
    <w:p w14:paraId="03EE4DE6" w14:textId="77777777" w:rsidR="00B04C24" w:rsidRPr="00766B78" w:rsidRDefault="00B04C24" w:rsidP="00B04C24">
      <w:pPr>
        <w:jc w:val="both"/>
        <w:rPr>
          <w:rFonts w:ascii="Arial" w:hAnsi="Arial" w:cs="Arial"/>
          <w:sz w:val="24"/>
          <w:szCs w:val="24"/>
        </w:rPr>
      </w:pPr>
      <w:r w:rsidRPr="00766B78">
        <w:rPr>
          <w:rFonts w:ascii="Arial" w:hAnsi="Arial" w:cs="Arial"/>
          <w:sz w:val="24"/>
          <w:szCs w:val="24"/>
        </w:rPr>
        <w:t>Fourth, generalizability to non-Korean populations requires empirical verification. While the biological mechanisms underlying health leverage (metabolic effects of fried foods, processed foods, refined grains) are likely universal given shared human physiology, network leverage patterns reflecting habitual co-consumption may vary substantially across food cultures. Mediterranean dietary patterns featuring olive oil, fish, and wine differ markedly from Korean patterns emphasizing rice, fermented foods, and specific vegetable preparations. Western dietary patterns dominated by convenience foods, red meat, and sugar-sweetened beverages show yet different structures. Replication studies across diverse populations—Mediterranean, Western European, North American, South Asian, Sub-Saharan African—would establish the cross-cultural validity of hub-focused approaches and identify culturally universal versus culture-specific hub patterns.</w:t>
      </w:r>
    </w:p>
    <w:p w14:paraId="0E30E7C3" w14:textId="77777777" w:rsidR="00B04C24" w:rsidRPr="00766B78" w:rsidRDefault="00B04C24" w:rsidP="00B04C24">
      <w:pPr>
        <w:jc w:val="both"/>
        <w:rPr>
          <w:rFonts w:ascii="Arial" w:hAnsi="Arial" w:cs="Arial"/>
          <w:sz w:val="24"/>
          <w:szCs w:val="24"/>
        </w:rPr>
      </w:pPr>
      <w:r w:rsidRPr="00766B78">
        <w:rPr>
          <w:rFonts w:ascii="Arial" w:hAnsi="Arial" w:cs="Arial"/>
          <w:sz w:val="24"/>
          <w:szCs w:val="24"/>
        </w:rPr>
        <w:t>Fifth, the food group aggregation necessary for network tractability obscures potentially important within-group heterogeneity. "Protein foods" encompasses fish (generally beneficial), lean poultry (neutral to beneficial), processed meats (harmful), and high-fat red meats (potentially harmful). "Grains" includes refined white rice (neutral to harmful in excess), whole grains (beneficial), and refined grain products (harmful). More granular food classifications distinguishing key individual foods within groups could provide additional precision. Hybrid approaches combining food groups with particularly important individual foods (e.g., analyzing vegetables as a group while separately examining specific processed meats or sugar-sweetened beverage types) merit exploration.</w:t>
      </w:r>
    </w:p>
    <w:p w14:paraId="3AC9B633"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Finally, sample size constraints precluded analysis of young female MetS+ (n=76, insufficient for stable network estimation) and older male MetS+ subgroups. Larger studies, consortium approaches pooling multiple cohorts, or oversampling strategies specifically recruiting underrepresented subgroups could enable more granular stratification. Additional stratification dimensions warranting investigation include chronic disease status (diabetes, hypertension, cardiovascular disease), medication use (statins, antihypertensives, antidiabetics), smoking status, physical activity levels, and potentially genetic risk profiles (polygenic risk scores for obesity, diabetes, dyslipidemia).</w:t>
      </w:r>
    </w:p>
    <w:p w14:paraId="2CAB62B6" w14:textId="77777777" w:rsidR="00B04C24" w:rsidRPr="00766B78" w:rsidRDefault="00B04C24" w:rsidP="000E6FD4">
      <w:pPr>
        <w:jc w:val="both"/>
        <w:rPr>
          <w:rFonts w:ascii="Arial" w:hAnsi="Arial" w:cs="Arial"/>
          <w:b/>
          <w:bCs/>
          <w:i/>
          <w:iCs/>
          <w:sz w:val="24"/>
          <w:szCs w:val="24"/>
        </w:rPr>
      </w:pPr>
    </w:p>
    <w:p w14:paraId="7394B635" w14:textId="4693BC4B" w:rsidR="00B04C24" w:rsidRPr="00766B78" w:rsidRDefault="00B04C24" w:rsidP="000E6FD4">
      <w:pPr>
        <w:jc w:val="both"/>
        <w:rPr>
          <w:rFonts w:ascii="Arial" w:hAnsi="Arial" w:cs="Arial"/>
          <w:b/>
          <w:bCs/>
          <w:i/>
          <w:iCs/>
          <w:sz w:val="24"/>
          <w:szCs w:val="24"/>
        </w:rPr>
      </w:pPr>
      <w:r w:rsidRPr="00766B78">
        <w:rPr>
          <w:rFonts w:ascii="Arial" w:hAnsi="Arial" w:cs="Arial"/>
          <w:b/>
          <w:bCs/>
          <w:i/>
          <w:iCs/>
          <w:sz w:val="24"/>
          <w:szCs w:val="24"/>
        </w:rPr>
        <w:t>Methodological Strengths and Innovations</w:t>
      </w:r>
    </w:p>
    <w:p w14:paraId="249685B2" w14:textId="77777777" w:rsidR="00B04C24" w:rsidRPr="00766B78" w:rsidRDefault="00B04C24" w:rsidP="00B04C24">
      <w:pPr>
        <w:jc w:val="both"/>
        <w:rPr>
          <w:rFonts w:ascii="Arial" w:hAnsi="Arial" w:cs="Arial"/>
          <w:sz w:val="24"/>
          <w:szCs w:val="24"/>
        </w:rPr>
      </w:pPr>
      <w:r w:rsidRPr="00766B78">
        <w:rPr>
          <w:rFonts w:ascii="Arial" w:hAnsi="Arial" w:cs="Arial"/>
          <w:sz w:val="24"/>
          <w:szCs w:val="24"/>
        </w:rPr>
        <w:t>Our analytical approach advances dietary network methodology through several key innovations. Gaussian graphical models estimate conditional dependencies via partial correlations—the unique pairwise associations between foods after statistically controlling for all other foods. This provides rigorous control of confounding that simple co-occurrence networks cannot achieve. For example, if fruits and vegetables frequently co-occur because both are consumed by health-conscious individuals, simple correlation would detect this association. However, partial correlation reveals whether the fruit-vegetable association persists after controlling for all other dietary components and individual characteristics, identifying genuine conditional dependencies rather than potentially spurious co-occurrences driven by unmeasured third variables.</w:t>
      </w:r>
    </w:p>
    <w:p w14:paraId="0E07D01F"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The nonparanormal SKEPTIC transformation addresses a fundamental challenge in dietary network analysis: dietary frequency data exhibit highly non-Gaussian distributions with substantial zero-inflation and positive skew. Standard Gaussian graphical models assume multivariate normality, which dietary data violate. The SKEPTIC transformation uses rank-based methods to achieve approximate normality while preserving monotonic relationships, enabling valid application of Gaussian graphical model methods to inherently non-Gaussian dietary data.</w:t>
      </w:r>
    </w:p>
    <w:p w14:paraId="7D84FAEB" w14:textId="1B767326" w:rsidR="009B6D8F" w:rsidRPr="00766B78" w:rsidRDefault="00B04C24" w:rsidP="000E6FD4">
      <w:pPr>
        <w:jc w:val="both"/>
        <w:rPr>
          <w:rFonts w:ascii="Arial" w:hAnsi="Arial" w:cs="Arial"/>
          <w:sz w:val="24"/>
          <w:szCs w:val="24"/>
        </w:rPr>
      </w:pPr>
      <w:r w:rsidRPr="00766B78">
        <w:rPr>
          <w:rFonts w:ascii="Arial" w:hAnsi="Arial" w:cs="Arial"/>
          <w:sz w:val="24"/>
          <w:szCs w:val="24"/>
        </w:rPr>
        <w:t xml:space="preserve">The stratified analysis across 11 demographic-metabolic subgroups, while reducing sample sizes within strata, enabled detection of group-specific patterns that would be obscured in pooled analyses. The minimum sample size of 680 participants per analyzed subgroup (excluding young female </w:t>
      </w:r>
      <w:proofErr w:type="spellStart"/>
      <w:r w:rsidRPr="00766B78">
        <w:rPr>
          <w:rFonts w:ascii="Arial" w:hAnsi="Arial" w:cs="Arial"/>
          <w:sz w:val="24"/>
          <w:szCs w:val="24"/>
        </w:rPr>
        <w:t>MetS</w:t>
      </w:r>
      <w:proofErr w:type="spellEnd"/>
      <w:r w:rsidRPr="00766B78">
        <w:rPr>
          <w:rFonts w:ascii="Arial" w:hAnsi="Arial" w:cs="Arial"/>
          <w:sz w:val="24"/>
          <w:szCs w:val="24"/>
        </w:rPr>
        <w:t>+ which was dropped) provided adequate power for network estimation given the regularized approach. The consistency of universal patterns (fried foods as hubs in 100% of groups) despite stratification strengthens confidence that these findings represent robust phenomena rather than sampling artifacts.</w:t>
      </w:r>
    </w:p>
    <w:p w14:paraId="50C31292" w14:textId="77777777" w:rsidR="00B04C24" w:rsidRPr="00766B78" w:rsidRDefault="00B04C24" w:rsidP="00B04C24">
      <w:pPr>
        <w:jc w:val="both"/>
        <w:rPr>
          <w:rFonts w:ascii="Arial" w:hAnsi="Arial" w:cs="Arial"/>
          <w:b/>
          <w:bCs/>
          <w:i/>
          <w:iCs/>
          <w:sz w:val="24"/>
          <w:szCs w:val="24"/>
        </w:rPr>
      </w:pPr>
      <w:r w:rsidRPr="00766B78">
        <w:rPr>
          <w:rFonts w:ascii="Arial" w:hAnsi="Arial" w:cs="Arial"/>
          <w:b/>
          <w:bCs/>
          <w:i/>
          <w:iCs/>
          <w:sz w:val="24"/>
          <w:szCs w:val="24"/>
        </w:rPr>
        <w:t>Public Health and Policy Implications</w:t>
      </w:r>
    </w:p>
    <w:p w14:paraId="719AFD22"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 xml:space="preserve">Warning label requirements on fried and processed foods, analogous to tobacco warning labels, could leverage both informational and psychological mechanisms. Beyond direct information provision, prominent warnings may reduce the hedonic appeal of these foods, interrupt automatic purchasing behaviors, and socially denormalize frequent consumption. The hub status of these foods suggests that such denormalization could cascade through dietary networks, progressively </w:t>
      </w:r>
      <w:r w:rsidRPr="00766B78">
        <w:rPr>
          <w:rFonts w:ascii="Arial" w:hAnsi="Arial" w:cs="Arial"/>
          <w:sz w:val="24"/>
          <w:szCs w:val="24"/>
        </w:rPr>
        <w:lastRenderedPageBreak/>
        <w:t>shifting social norms around entire dietary patterns rather than isolated food choices.</w:t>
      </w:r>
    </w:p>
    <w:p w14:paraId="40A58B93" w14:textId="1DD6D830" w:rsidR="009B6D8F" w:rsidRPr="00766B78" w:rsidRDefault="00000000" w:rsidP="000E6FD4">
      <w:pPr>
        <w:jc w:val="both"/>
        <w:rPr>
          <w:rFonts w:ascii="Arial" w:hAnsi="Arial" w:cs="Arial"/>
          <w:sz w:val="24"/>
          <w:szCs w:val="24"/>
        </w:rPr>
      </w:pPr>
      <w:r w:rsidRPr="00766B78">
        <w:rPr>
          <w:rFonts w:ascii="Arial" w:hAnsi="Arial" w:cs="Arial"/>
          <w:sz w:val="24"/>
          <w:szCs w:val="24"/>
        </w:rPr>
        <w:t>The universal emergence of fried foods (100%), processed foods (91%), and sugar-sweetened beverages (82%) as hubs across all demographic-metabolic subgroups provides clear evidence for population-level policy interventions targeting these specific food categories. The network perspective suggests that such policies may yield larger population health benefits than anticipated from direct consumption changes alone, as cascade effects amplify initial policy impacts. For example, taxation or marketing restrictions on sugar-sweetened beverages may reduce not only direct SSB consumption but also cascade to reduced processed food intake (given their co-consumption patterns), yielding multiplicative rather than merely additive effects.</w:t>
      </w:r>
    </w:p>
    <w:p w14:paraId="721EACC4" w14:textId="77777777" w:rsidR="00B04C24" w:rsidRPr="00766B78" w:rsidRDefault="00B04C24" w:rsidP="00B04C24">
      <w:pPr>
        <w:jc w:val="both"/>
        <w:rPr>
          <w:rFonts w:ascii="Arial" w:hAnsi="Arial" w:cs="Arial"/>
          <w:b/>
          <w:bCs/>
          <w:i/>
          <w:iCs/>
          <w:sz w:val="24"/>
          <w:szCs w:val="24"/>
        </w:rPr>
      </w:pPr>
      <w:r w:rsidRPr="00766B78">
        <w:rPr>
          <w:rFonts w:ascii="Arial" w:hAnsi="Arial" w:cs="Arial"/>
          <w:b/>
          <w:bCs/>
          <w:i/>
          <w:iCs/>
          <w:sz w:val="24"/>
          <w:szCs w:val="24"/>
        </w:rPr>
        <w:t>Clinical and Translational Implications</w:t>
      </w:r>
    </w:p>
    <w:p w14:paraId="29E8578D"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From a health systems perspective, hub-focused interventions offer implementation advantages beyond individual-level cognitive load reduction. Clinician training becomes more focused and achievable (mastering counseling on 3-5 foods vs comprehensive dietary knowledge), clinical encounter time is used more efficiently (brief focused counseling vs overwhelming comprehensive attempts), and patient self-monitoring becomes feasible (tracking 3-5 foods vs entire dietary intake). These practical considerations strongly influence real-world intervention scalability and sustainability.</w:t>
      </w:r>
    </w:p>
    <w:p w14:paraId="517396A9"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For prevention contexts (MetS- groups), our findings support a dual-pronged approach: minimizing unhealthy hubs to prevent metabolic deterioration while actively strengthening healthy hubs (particularly protein-centric patterns showing protective associations) to build metabolic resilience. This positive framing—not merely restricting unhealthy foods but actively promoting healthy hub foods—may enhance intervention acceptability and adherence. For disease management contexts (MetS+ groups), strict limitation of high-risk hubs is warranted given the ~2-fold amplification of adverse effects, suggesting that even modest reductions in fried foods, processed foods, and sugar-sweetened beverages could yield clinically meaningful metabolic improvements.</w:t>
      </w:r>
    </w:p>
    <w:p w14:paraId="5A67B473"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 xml:space="preserve">The group-specific priorities we identified enable precision targeting while remaining practically implementable in clinical settings. Young male MetS+ individuals should prioritize grain quality improvement (refined→whole grains) given the substantial triglyceride impact (+43.4 mg/dL), a modification that addresses a major dietary contributor to dyslipidemia in this demographic. Middle-aged female MetS+ individuals should focus on fried food elimination </w:t>
      </w:r>
      <w:r w:rsidRPr="00766B78">
        <w:rPr>
          <w:rFonts w:ascii="Arial" w:hAnsi="Arial" w:cs="Arial"/>
          <w:sz w:val="24"/>
          <w:szCs w:val="24"/>
        </w:rPr>
        <w:lastRenderedPageBreak/>
        <w:t>given highest network centrality (0.455) and waist circumference impact (+2.20 cm), targeting a food category that functions as both a direct metabolic insult and a behavioral trigger for cascade consumption of other unhealthy foods. Middle-aged male MetS+ individuals require simultaneous intervention on dual hubs (fried foods and processed foods, both degree=0.364), reflecting the particularly dense interconnection of unhealthy foods in this demographic's dietary network.</w:t>
      </w:r>
    </w:p>
    <w:p w14:paraId="2018FCB7" w14:textId="08CF7571" w:rsidR="009B6D8F" w:rsidRPr="00766B78" w:rsidRDefault="00000000" w:rsidP="000E6FD4">
      <w:pPr>
        <w:jc w:val="both"/>
        <w:rPr>
          <w:rFonts w:ascii="Arial" w:hAnsi="Arial" w:cs="Arial"/>
          <w:sz w:val="24"/>
          <w:szCs w:val="24"/>
        </w:rPr>
      </w:pPr>
      <w:r w:rsidRPr="00766B78">
        <w:rPr>
          <w:rFonts w:ascii="Arial" w:hAnsi="Arial" w:cs="Arial"/>
          <w:sz w:val="24"/>
          <w:szCs w:val="24"/>
        </w:rPr>
        <w:t>Our findings support a paradigm shift from comprehensive dietary modification toward strategic hub-focused interventions. Traditional dietary counseling attempts simultaneous modification of all food groups ("eat more fruits and vegetables, reduce processed foods, limit sodium, choose whole grains, select lean proteins, minimize added sugars..."), imposing substantial cognitive load documented to reduce adherence in multiple trials. The Working Memory Model of behavioral change suggests that humans can effectively manage 3-5 concurrent behavior changes, beyond which adherence degrades sharply. Hub-focused interventions respect this cognitive constraint by targeting only 3-5 strategic foods, achieving 75% complexity reduction (from 12 to 3-5 targets) while maintaining clinical relevance through dual leverage cascades that amplify initial changes.</w:t>
      </w:r>
    </w:p>
    <w:p w14:paraId="4328A1AE" w14:textId="77777777" w:rsidR="00B04C24" w:rsidRPr="00766B78" w:rsidRDefault="00B04C24" w:rsidP="00B04C24">
      <w:pPr>
        <w:jc w:val="both"/>
        <w:rPr>
          <w:rFonts w:ascii="Arial" w:hAnsi="Arial" w:cs="Arial"/>
          <w:b/>
          <w:bCs/>
          <w:i/>
          <w:iCs/>
          <w:sz w:val="24"/>
          <w:szCs w:val="24"/>
        </w:rPr>
      </w:pPr>
      <w:r w:rsidRPr="00766B78">
        <w:rPr>
          <w:rFonts w:ascii="Arial" w:hAnsi="Arial" w:cs="Arial"/>
          <w:b/>
          <w:bCs/>
          <w:i/>
          <w:iCs/>
          <w:sz w:val="24"/>
          <w:szCs w:val="24"/>
        </w:rPr>
        <w:t>Mechanistic Underpinnings of Dual Leverage</w:t>
      </w:r>
    </w:p>
    <w:p w14:paraId="2437D42E"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The dual leverage mechanism operates through distinct but complementary pathways. Network leverage reflects primarily behavioral and environmental processes: habitual co-consumption patterns established through repeated meal experiences, meal structure conventions shaped by cultural norms and food environment, cognitive associations linking specific foods in memory, and convenience-driven food purchasing patterns. The robust vegetables→protein cascade (β=+1.04) observed in metabolically healthy males likely reflects structured meal patterns where vegetable-rich meals coincide with adequate protein intake—a pattern possibly mediated by home cooking practices, nutrition knowledge, and deliberate meal planning. Conversely, unhealthy food cascades in MetS+ groups (processed foods→sugar-sweetened beverages β=+0.90, fried foods→high-fat meat β=+0.87) may reflect fast-food meal bundles, convenience store purchasing patterns, or hedonic eating episodes where one indulgence psychologically licenses others.</w:t>
      </w:r>
    </w:p>
    <w:p w14:paraId="5BF4D662" w14:textId="77777777" w:rsidR="00B04C24" w:rsidRPr="00766B78" w:rsidRDefault="00B04C24" w:rsidP="00B04C24">
      <w:pPr>
        <w:jc w:val="both"/>
        <w:rPr>
          <w:rFonts w:ascii="Arial" w:hAnsi="Arial" w:cs="Arial"/>
          <w:sz w:val="24"/>
          <w:szCs w:val="24"/>
        </w:rPr>
      </w:pPr>
      <w:r w:rsidRPr="00766B78">
        <w:rPr>
          <w:rFonts w:ascii="Arial" w:hAnsi="Arial" w:cs="Arial"/>
          <w:sz w:val="24"/>
          <w:szCs w:val="24"/>
        </w:rPr>
        <w:t xml:space="preserve">Health leverage operates through direct metabolic pathways established by decades of nutritional biochemistry research. Fried foods' associations with adiposity (waist circumference +2.20-3.26 cm, Cohen's d=0.29-0.43) reflect multiple mechanisms: high energy density (typically 400-600 kcal per serving) overwhelming energy balance regulation, elevated saturated and trans fat </w:t>
      </w:r>
      <w:r w:rsidRPr="00766B78">
        <w:rPr>
          <w:rFonts w:ascii="Arial" w:hAnsi="Arial" w:cs="Arial"/>
          <w:sz w:val="24"/>
          <w:szCs w:val="24"/>
        </w:rPr>
        <w:lastRenderedPageBreak/>
        <w:t>content (15-30g per serving) promoting insulin resistance through inflammatory signaling and endoplasmic reticulum stress, and advanced glycation end products formed during high-temperature cooking inducing oxidative stress and inflammatory responses. Processed foods' metabolic effects stem from high sodium content (800-1500mg per serving) elevating blood pressure through volume expansion and vascular dysfunction, refined carbohydrates causing postprandial glucose excursions and insulin hypersecretion, and ultra-processing markers (emulsifiers, artificial additives) potentially disrupting satiety signaling and gut microbiome composition.</w:t>
      </w:r>
    </w:p>
    <w:p w14:paraId="08A924C9" w14:textId="2A2C3EDD" w:rsidR="00B04C24" w:rsidRPr="00766B78" w:rsidRDefault="00B04C24" w:rsidP="000E6FD4">
      <w:pPr>
        <w:jc w:val="both"/>
        <w:rPr>
          <w:rFonts w:ascii="Arial" w:hAnsi="Arial" w:cs="Arial"/>
          <w:sz w:val="24"/>
          <w:szCs w:val="24"/>
        </w:rPr>
      </w:pPr>
      <w:r w:rsidRPr="00766B78">
        <w:rPr>
          <w:rFonts w:ascii="Arial" w:hAnsi="Arial" w:cs="Arial"/>
          <w:sz w:val="24"/>
          <w:szCs w:val="24"/>
        </w:rPr>
        <w:t xml:space="preserve">The triglyceride elevation associated with refined grain consumption in young male </w:t>
      </w:r>
      <w:proofErr w:type="spellStart"/>
      <w:r w:rsidRPr="00766B78">
        <w:rPr>
          <w:rFonts w:ascii="Arial" w:hAnsi="Arial" w:cs="Arial"/>
          <w:sz w:val="24"/>
          <w:szCs w:val="24"/>
        </w:rPr>
        <w:t>MetS</w:t>
      </w:r>
      <w:proofErr w:type="spellEnd"/>
      <w:r w:rsidRPr="00766B78">
        <w:rPr>
          <w:rFonts w:ascii="Arial" w:hAnsi="Arial" w:cs="Arial"/>
          <w:sz w:val="24"/>
          <w:szCs w:val="24"/>
        </w:rPr>
        <w:t>+ individuals (+43.4 mg/dL, d=0.35) reflects hepatic de novo lipogenesis driven by excess carbohydrate intake in the context of hepatic insulin resistance. When hepatic glucose uptake and glycogen synthesis are impaired, excess glucose is shunted toward lipogenesis, with newly synthesized triglycerides packaged into VLDL particles and secreted into circulation. This mechanism is particularly pronounced in young males due to higher baseline carbohydrate intake, greater propensity for hepatic fat accumulation, and hormonal factors (testosterone) that may modulate hepatic lipid metabolism.</w:t>
      </w:r>
    </w:p>
    <w:p w14:paraId="3C7C4976" w14:textId="77777777" w:rsidR="00B04C24" w:rsidRPr="00766B78" w:rsidRDefault="00B04C24" w:rsidP="00B04C24">
      <w:pPr>
        <w:jc w:val="both"/>
        <w:rPr>
          <w:rFonts w:ascii="Arial" w:hAnsi="Arial" w:cs="Arial"/>
          <w:b/>
          <w:bCs/>
          <w:i/>
          <w:iCs/>
          <w:sz w:val="24"/>
          <w:szCs w:val="24"/>
        </w:rPr>
      </w:pPr>
      <w:r w:rsidRPr="00766B78">
        <w:rPr>
          <w:rFonts w:ascii="Arial" w:hAnsi="Arial" w:cs="Arial"/>
          <w:b/>
          <w:bCs/>
          <w:i/>
          <w:iCs/>
          <w:sz w:val="24"/>
          <w:szCs w:val="24"/>
        </w:rPr>
        <w:t>Interpretation in Context of Existing Evidence</w:t>
      </w:r>
    </w:p>
    <w:p w14:paraId="260B5BF4"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Our findings both confirm and substantially extend prior dietary network research. The identification of processed and fried foods as network hubs aligns with previous European studies utilizing meal-based network approaches, though our Gaussian graphical model methodology provides more rigorous statistical control through partial correlations. The demonstration of dual leverage—simultaneous influence through behavioral cascades and direct metabolic pathways—represents a novel mechanistic framework not previously articulated in dietary network literature.</w:t>
      </w:r>
    </w:p>
    <w:p w14:paraId="37925971" w14:textId="77777777" w:rsidR="00B04C24" w:rsidRPr="00766B78" w:rsidRDefault="00B04C24" w:rsidP="00B04C24">
      <w:pPr>
        <w:jc w:val="both"/>
        <w:rPr>
          <w:rFonts w:ascii="Arial" w:hAnsi="Arial" w:cs="Arial"/>
          <w:sz w:val="24"/>
          <w:szCs w:val="24"/>
        </w:rPr>
      </w:pPr>
      <w:r w:rsidRPr="00766B78">
        <w:rPr>
          <w:rFonts w:ascii="Arial" w:hAnsi="Arial" w:cs="Arial"/>
          <w:sz w:val="24"/>
          <w:szCs w:val="24"/>
        </w:rPr>
        <w:t xml:space="preserve">The 1.5-2.0-fold amplification of dietary effects in </w:t>
      </w:r>
      <w:proofErr w:type="spellStart"/>
      <w:r w:rsidRPr="00766B78">
        <w:rPr>
          <w:rFonts w:ascii="Arial" w:hAnsi="Arial" w:cs="Arial"/>
          <w:sz w:val="24"/>
          <w:szCs w:val="24"/>
        </w:rPr>
        <w:t>MetS</w:t>
      </w:r>
      <w:proofErr w:type="spellEnd"/>
      <w:r w:rsidRPr="00766B78">
        <w:rPr>
          <w:rFonts w:ascii="Arial" w:hAnsi="Arial" w:cs="Arial"/>
          <w:sz w:val="24"/>
          <w:szCs w:val="24"/>
        </w:rPr>
        <w:t xml:space="preserve">+ individuals extends previous observations of heightened dietary susceptibility in insulin-resistant states. While prior research documented that </w:t>
      </w:r>
      <w:proofErr w:type="spellStart"/>
      <w:r w:rsidRPr="00766B78">
        <w:rPr>
          <w:rFonts w:ascii="Arial" w:hAnsi="Arial" w:cs="Arial"/>
          <w:sz w:val="24"/>
          <w:szCs w:val="24"/>
        </w:rPr>
        <w:t>MetS</w:t>
      </w:r>
      <w:proofErr w:type="spellEnd"/>
      <w:r w:rsidRPr="00766B78">
        <w:rPr>
          <w:rFonts w:ascii="Arial" w:hAnsi="Arial" w:cs="Arial"/>
          <w:sz w:val="24"/>
          <w:szCs w:val="24"/>
        </w:rPr>
        <w:t xml:space="preserve"> patients show exaggerated metabolic responses to carbohydrate or fat loading, our study quantifies this amplification in the context of habitual dietary patterns and demonstrates its consistency across multiple hub foods and metabolic indicators. This systematic amplification suggests a common underlying pathophysiology—likely involving insulin resistance, chronic inflammation, and dysregulated adipokine secretion—that sensitizes metabolic tissues to dietary insults.</w:t>
      </w:r>
    </w:p>
    <w:p w14:paraId="73CA6BB1" w14:textId="34F4FE66" w:rsidR="00B04C24" w:rsidRPr="00766B78" w:rsidRDefault="00B04C24" w:rsidP="000E6FD4">
      <w:pPr>
        <w:jc w:val="both"/>
        <w:rPr>
          <w:rFonts w:ascii="Arial" w:hAnsi="Arial" w:cs="Arial"/>
          <w:sz w:val="24"/>
          <w:szCs w:val="24"/>
        </w:rPr>
      </w:pPr>
      <w:r w:rsidRPr="00766B78">
        <w:rPr>
          <w:rFonts w:ascii="Arial" w:hAnsi="Arial" w:cs="Arial"/>
          <w:sz w:val="24"/>
          <w:szCs w:val="24"/>
        </w:rPr>
        <w:lastRenderedPageBreak/>
        <w:t xml:space="preserve">The protective pattern of protein foods as hubs in </w:t>
      </w:r>
      <w:proofErr w:type="spellStart"/>
      <w:r w:rsidRPr="00766B78">
        <w:rPr>
          <w:rFonts w:ascii="Arial" w:hAnsi="Arial" w:cs="Arial"/>
          <w:sz w:val="24"/>
          <w:szCs w:val="24"/>
        </w:rPr>
        <w:t>MetS</w:t>
      </w:r>
      <w:proofErr w:type="spellEnd"/>
      <w:r w:rsidRPr="00766B78">
        <w:rPr>
          <w:rFonts w:ascii="Arial" w:hAnsi="Arial" w:cs="Arial"/>
          <w:sz w:val="24"/>
          <w:szCs w:val="24"/>
        </w:rPr>
        <w:t xml:space="preserve">- groups (100% vs 40% in </w:t>
      </w:r>
      <w:proofErr w:type="spellStart"/>
      <w:r w:rsidRPr="00766B78">
        <w:rPr>
          <w:rFonts w:ascii="Arial" w:hAnsi="Arial" w:cs="Arial"/>
          <w:sz w:val="24"/>
          <w:szCs w:val="24"/>
        </w:rPr>
        <w:t>MetS</w:t>
      </w:r>
      <w:proofErr w:type="spellEnd"/>
      <w:r w:rsidRPr="00766B78">
        <w:rPr>
          <w:rFonts w:ascii="Arial" w:hAnsi="Arial" w:cs="Arial"/>
          <w:sz w:val="24"/>
          <w:szCs w:val="24"/>
        </w:rPr>
        <w:t xml:space="preserve">+) corroborates extensive evidence linking protein-rich dietary patterns to metabolic health, including findings from the Diabetes Prevention Program and Finnish Diabetes Prevention Study. However, the context-dependent effects we observed—where protein foods showed adverse associations in some </w:t>
      </w:r>
      <w:proofErr w:type="spellStart"/>
      <w:r w:rsidRPr="00766B78">
        <w:rPr>
          <w:rFonts w:ascii="Arial" w:hAnsi="Arial" w:cs="Arial"/>
          <w:sz w:val="24"/>
          <w:szCs w:val="24"/>
        </w:rPr>
        <w:t>MetS</w:t>
      </w:r>
      <w:proofErr w:type="spellEnd"/>
      <w:r w:rsidRPr="00766B78">
        <w:rPr>
          <w:rFonts w:ascii="Arial" w:hAnsi="Arial" w:cs="Arial"/>
          <w:sz w:val="24"/>
          <w:szCs w:val="24"/>
        </w:rPr>
        <w:t xml:space="preserve">+ subgroups—underscore the critical importance of protein source quality. The adverse effects likely reflect high-fat protein sources (processed meats, high-fat dairy) predominating in certain </w:t>
      </w:r>
      <w:proofErr w:type="spellStart"/>
      <w:r w:rsidRPr="00766B78">
        <w:rPr>
          <w:rFonts w:ascii="Arial" w:hAnsi="Arial" w:cs="Arial"/>
          <w:sz w:val="24"/>
          <w:szCs w:val="24"/>
        </w:rPr>
        <w:t>MetS</w:t>
      </w:r>
      <w:proofErr w:type="spellEnd"/>
      <w:r w:rsidRPr="00766B78">
        <w:rPr>
          <w:rFonts w:ascii="Arial" w:hAnsi="Arial" w:cs="Arial"/>
          <w:sz w:val="24"/>
          <w:szCs w:val="24"/>
        </w:rPr>
        <w:t xml:space="preserve">+ dietary patterns, while the protective effects in </w:t>
      </w:r>
      <w:proofErr w:type="spellStart"/>
      <w:r w:rsidRPr="00766B78">
        <w:rPr>
          <w:rFonts w:ascii="Arial" w:hAnsi="Arial" w:cs="Arial"/>
          <w:sz w:val="24"/>
          <w:szCs w:val="24"/>
        </w:rPr>
        <w:t>MetS</w:t>
      </w:r>
      <w:proofErr w:type="spellEnd"/>
      <w:r w:rsidRPr="00766B78">
        <w:rPr>
          <w:rFonts w:ascii="Arial" w:hAnsi="Arial" w:cs="Arial"/>
          <w:sz w:val="24"/>
          <w:szCs w:val="24"/>
        </w:rPr>
        <w:t>- groups may reflect lean protein sources. This nuance suggests that generic "increase protein" recommendations require demographic-specific qualification regarding protein source selection.</w:t>
      </w:r>
    </w:p>
    <w:p w14:paraId="4CD2AFD5" w14:textId="071B14AE" w:rsidR="009B6D8F" w:rsidRPr="00766B78" w:rsidRDefault="00000000" w:rsidP="000E6FD4">
      <w:pPr>
        <w:jc w:val="both"/>
        <w:rPr>
          <w:rFonts w:ascii="Arial" w:hAnsi="Arial" w:cs="Arial"/>
          <w:sz w:val="24"/>
          <w:szCs w:val="24"/>
        </w:rPr>
      </w:pPr>
      <w:r w:rsidRPr="00766B78">
        <w:rPr>
          <w:rFonts w:ascii="Arial" w:hAnsi="Arial" w:cs="Arial"/>
          <w:sz w:val="24"/>
          <w:szCs w:val="24"/>
        </w:rPr>
        <w:t xml:space="preserve">This study provides the first comprehensive characterization of dietary network structure heterogeneity across sex, age, and metabolic syndrome strata, establishing a dual leverage mechanism through which hub foods influence both dietary patterns and metabolic health. Four principal findings merit emphasis: (1) substantial network heterogeneity challenges assumptions of dietary pattern homogeneity, with MetS+ individuals exhibiting 40% more densely connected networks suggesting rigid co-consumption patterns; (2) unhealthy foods (fried foods 100%, processed foods 91%, sugar-sweetened beverages 82%) predominantly occupy hub positions while healthy foods show lower hub frequencies; (3) hub foods demonstrate quantifiable network leverage through cascading effects on 4-5 connected foods (68% of 352 pathways significant, mean β=0.19); and (4) hub foods exert direct health leverage with 1.5-2.0-fold effect amplification in </w:t>
      </w:r>
      <w:proofErr w:type="spellStart"/>
      <w:r w:rsidRPr="00766B78">
        <w:rPr>
          <w:rFonts w:ascii="Arial" w:hAnsi="Arial" w:cs="Arial"/>
          <w:sz w:val="24"/>
          <w:szCs w:val="24"/>
        </w:rPr>
        <w:t>MetS</w:t>
      </w:r>
      <w:proofErr w:type="spellEnd"/>
      <w:r w:rsidRPr="00766B78">
        <w:rPr>
          <w:rFonts w:ascii="Arial" w:hAnsi="Arial" w:cs="Arial"/>
          <w:sz w:val="24"/>
          <w:szCs w:val="24"/>
        </w:rPr>
        <w:t xml:space="preserve">+ versus </w:t>
      </w:r>
      <w:proofErr w:type="spellStart"/>
      <w:r w:rsidRPr="00766B78">
        <w:rPr>
          <w:rFonts w:ascii="Arial" w:hAnsi="Arial" w:cs="Arial"/>
          <w:sz w:val="24"/>
          <w:szCs w:val="24"/>
        </w:rPr>
        <w:t>MetS</w:t>
      </w:r>
      <w:proofErr w:type="spellEnd"/>
      <w:r w:rsidRPr="00766B78">
        <w:rPr>
          <w:rFonts w:ascii="Arial" w:hAnsi="Arial" w:cs="Arial"/>
          <w:sz w:val="24"/>
          <w:szCs w:val="24"/>
        </w:rPr>
        <w:t>- groups.</w:t>
      </w:r>
    </w:p>
    <w:p w14:paraId="55230E4A" w14:textId="77777777" w:rsidR="00BB7930" w:rsidRPr="00766B78" w:rsidRDefault="00BB7930">
      <w:pPr>
        <w:rPr>
          <w:rFonts w:ascii="Arial" w:eastAsia="맑은 고딕" w:hAnsi="Arial" w:cs="Arial"/>
          <w:b/>
          <w:bCs/>
          <w:sz w:val="24"/>
          <w:szCs w:val="24"/>
          <w:lang w:eastAsia="ko-KR"/>
        </w:rPr>
      </w:pPr>
      <w:r w:rsidRPr="00766B78">
        <w:rPr>
          <w:rFonts w:ascii="Arial" w:eastAsia="맑은 고딕" w:hAnsi="Arial" w:cs="Arial"/>
          <w:b/>
          <w:bCs/>
          <w:sz w:val="24"/>
          <w:szCs w:val="24"/>
          <w:lang w:eastAsia="ko-KR"/>
        </w:rPr>
        <w:br w:type="page"/>
      </w:r>
    </w:p>
    <w:p w14:paraId="17520AFF" w14:textId="7E7477C0" w:rsidR="00B04C24" w:rsidRPr="00766B78" w:rsidRDefault="00B04C24" w:rsidP="000E6FD4">
      <w:pPr>
        <w:jc w:val="both"/>
        <w:rPr>
          <w:rFonts w:ascii="Arial" w:eastAsia="맑은 고딕" w:hAnsi="Arial" w:cs="Arial"/>
          <w:b/>
          <w:bCs/>
          <w:sz w:val="24"/>
          <w:szCs w:val="24"/>
          <w:lang w:eastAsia="ko-KR"/>
        </w:rPr>
      </w:pPr>
      <w:r w:rsidRPr="00766B78">
        <w:rPr>
          <w:rFonts w:ascii="Arial" w:eastAsia="맑은 고딕" w:hAnsi="Arial" w:cs="Arial"/>
          <w:b/>
          <w:bCs/>
          <w:sz w:val="24"/>
          <w:szCs w:val="24"/>
          <w:lang w:eastAsia="ko-KR"/>
        </w:rPr>
        <w:lastRenderedPageBreak/>
        <w:t>Conclusion</w:t>
      </w:r>
    </w:p>
    <w:p w14:paraId="02B5F981" w14:textId="35D068D2" w:rsidR="000E6FD4" w:rsidRPr="00766B78" w:rsidRDefault="000E6FD4" w:rsidP="000E6FD4">
      <w:pPr>
        <w:jc w:val="both"/>
        <w:rPr>
          <w:rFonts w:ascii="Arial" w:hAnsi="Arial" w:cs="Arial"/>
          <w:sz w:val="24"/>
          <w:szCs w:val="24"/>
        </w:rPr>
      </w:pPr>
      <w:r w:rsidRPr="00766B78">
        <w:rPr>
          <w:rFonts w:ascii="Arial" w:hAnsi="Arial" w:cs="Arial"/>
          <w:sz w:val="24"/>
          <w:szCs w:val="24"/>
        </w:rPr>
        <w:t xml:space="preserve">In conclusion, this study establishes dietary networks as complex, heterogeneous systems exhibiting substantial demographic-metabolic variation, with strategic hub foods exerting dual leverage through both behavioral cascades and direct metabolic pathways. The 1.5-2.0-fold amplification of hub effects in </w:t>
      </w:r>
      <w:proofErr w:type="spellStart"/>
      <w:r w:rsidRPr="00766B78">
        <w:rPr>
          <w:rFonts w:ascii="Arial" w:hAnsi="Arial" w:cs="Arial"/>
          <w:sz w:val="24"/>
          <w:szCs w:val="24"/>
        </w:rPr>
        <w:t>MetS</w:t>
      </w:r>
      <w:proofErr w:type="spellEnd"/>
      <w:r w:rsidRPr="00766B78">
        <w:rPr>
          <w:rFonts w:ascii="Arial" w:hAnsi="Arial" w:cs="Arial"/>
          <w:sz w:val="24"/>
          <w:szCs w:val="24"/>
        </w:rPr>
        <w:t>+ individuals underscores heightened dietary vulnerability and prioritizes hub food intervention in disease management. Hub-focused precision interventions targeting 3-5 strategic foods offer simplified alternatives to overwhelming comprehensive modification, achieving 75% complexity reduction while maintaining clinical relevance. Universal risk hubs—fried foods (100%), processed foods (91%), sugar-sweetened beverages (82%)—provide clear public health guidance transcending demographic boundaries, while group-specific priorities enable personalized targeting. The framework developed here—characterizing dietary networks, identifying hub foods, quantifying dual leverage, demonstrating effect amplification, and deriving tailored intervention priorities—establishes a replicable methodology for dietary network analysis applicable across populations and disease contexts. Randomized trials are now warranted to establish causal efficacy, determine optimal implementation strategies, and translate these network-based insights into improved metabolic health outcomes.</w:t>
      </w:r>
    </w:p>
    <w:p w14:paraId="49B06315"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br w:type="page"/>
      </w:r>
    </w:p>
    <w:p w14:paraId="0ED5FB44" w14:textId="77777777" w:rsidR="009B6D8F" w:rsidRPr="00766B78" w:rsidRDefault="00000000" w:rsidP="000E6FD4">
      <w:pPr>
        <w:jc w:val="both"/>
        <w:rPr>
          <w:rFonts w:ascii="Arial" w:hAnsi="Arial" w:cs="Arial"/>
          <w:sz w:val="24"/>
          <w:szCs w:val="24"/>
        </w:rPr>
      </w:pPr>
      <w:r w:rsidRPr="00766B78">
        <w:rPr>
          <w:rFonts w:ascii="Arial" w:hAnsi="Arial" w:cs="Arial"/>
          <w:b/>
          <w:sz w:val="24"/>
          <w:szCs w:val="24"/>
        </w:rPr>
        <w:lastRenderedPageBreak/>
        <w:t>Table 1. Network Leverage: Cascading Effects of Hub Foods</w:t>
      </w:r>
    </w:p>
    <w:p w14:paraId="3FEC2218" w14:textId="28BEEE9D" w:rsidR="009B6D8F" w:rsidRPr="00766B78" w:rsidRDefault="00000000" w:rsidP="000E6FD4">
      <w:pPr>
        <w:jc w:val="both"/>
        <w:rPr>
          <w:rFonts w:ascii="Arial" w:hAnsi="Arial" w:cs="Arial"/>
          <w:sz w:val="24"/>
          <w:szCs w:val="24"/>
        </w:rPr>
      </w:pPr>
      <w:r w:rsidRPr="00766B78">
        <w:rPr>
          <w:rFonts w:ascii="Arial" w:hAnsi="Arial" w:cs="Arial"/>
          <w:i/>
          <w:sz w:val="24"/>
          <w:szCs w:val="24"/>
        </w:rPr>
        <w:t>Top 20 hub→connected food pathways. Positive β: co-consumption; negative β: substitution. All P&lt;0.05.</w:t>
      </w:r>
    </w:p>
    <w:tbl>
      <w:tblPr>
        <w:tblW w:w="0" w:type="auto"/>
        <w:tblLook w:val="04A0" w:firstRow="1" w:lastRow="0" w:firstColumn="1" w:lastColumn="0" w:noHBand="0" w:noVBand="1"/>
      </w:tblPr>
      <w:tblGrid>
        <w:gridCol w:w="1726"/>
        <w:gridCol w:w="1593"/>
        <w:gridCol w:w="1593"/>
        <w:gridCol w:w="2552"/>
        <w:gridCol w:w="1392"/>
      </w:tblGrid>
      <w:tr w:rsidR="009B6D8F" w:rsidRPr="00766B78" w14:paraId="198178F5" w14:textId="77777777">
        <w:tc>
          <w:tcPr>
            <w:tcW w:w="1728" w:type="dxa"/>
          </w:tcPr>
          <w:p w14:paraId="60E4D8EB"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Demographic-Metabolic Group</w:t>
            </w:r>
          </w:p>
        </w:tc>
        <w:tc>
          <w:tcPr>
            <w:tcW w:w="1728" w:type="dxa"/>
          </w:tcPr>
          <w:p w14:paraId="4662A648"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Hub Food</w:t>
            </w:r>
          </w:p>
        </w:tc>
        <w:tc>
          <w:tcPr>
            <w:tcW w:w="1728" w:type="dxa"/>
          </w:tcPr>
          <w:p w14:paraId="5191FC1C"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Connected Food</w:t>
            </w:r>
          </w:p>
        </w:tc>
        <w:tc>
          <w:tcPr>
            <w:tcW w:w="1728" w:type="dxa"/>
          </w:tcPr>
          <w:p w14:paraId="6881A3D9"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β Coefficient</w:t>
            </w:r>
          </w:p>
        </w:tc>
        <w:tc>
          <w:tcPr>
            <w:tcW w:w="1728" w:type="dxa"/>
          </w:tcPr>
          <w:p w14:paraId="5077A854"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P-value</w:t>
            </w:r>
          </w:p>
        </w:tc>
      </w:tr>
      <w:tr w:rsidR="009B6D8F" w:rsidRPr="00766B78" w14:paraId="3F2EBA5F" w14:textId="77777777">
        <w:tc>
          <w:tcPr>
            <w:tcW w:w="1728" w:type="dxa"/>
          </w:tcPr>
          <w:p w14:paraId="170A0BB3"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Male Middle-aged (40-59y) MetS-</w:t>
            </w:r>
          </w:p>
        </w:tc>
        <w:tc>
          <w:tcPr>
            <w:tcW w:w="1728" w:type="dxa"/>
          </w:tcPr>
          <w:p w14:paraId="776F8A72"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Vegetables</w:t>
            </w:r>
          </w:p>
        </w:tc>
        <w:tc>
          <w:tcPr>
            <w:tcW w:w="1728" w:type="dxa"/>
          </w:tcPr>
          <w:p w14:paraId="0D1F2F01"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Protein Foods</w:t>
            </w:r>
          </w:p>
        </w:tc>
        <w:tc>
          <w:tcPr>
            <w:tcW w:w="1728" w:type="dxa"/>
          </w:tcPr>
          <w:p w14:paraId="005AE8F2"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1.035326561401781</w:t>
            </w:r>
          </w:p>
        </w:tc>
        <w:tc>
          <w:tcPr>
            <w:tcW w:w="1728" w:type="dxa"/>
          </w:tcPr>
          <w:p w14:paraId="3AA74C81"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&lt;0.001</w:t>
            </w:r>
          </w:p>
        </w:tc>
      </w:tr>
      <w:tr w:rsidR="009B6D8F" w:rsidRPr="00766B78" w14:paraId="1BEDF078" w14:textId="77777777">
        <w:tc>
          <w:tcPr>
            <w:tcW w:w="1728" w:type="dxa"/>
          </w:tcPr>
          <w:p w14:paraId="7EB097A3"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Male Young (20-39y) MetS-</w:t>
            </w:r>
          </w:p>
        </w:tc>
        <w:tc>
          <w:tcPr>
            <w:tcW w:w="1728" w:type="dxa"/>
          </w:tcPr>
          <w:p w14:paraId="57B65335"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Vegetables</w:t>
            </w:r>
          </w:p>
        </w:tc>
        <w:tc>
          <w:tcPr>
            <w:tcW w:w="1728" w:type="dxa"/>
          </w:tcPr>
          <w:p w14:paraId="08A2F000"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Protein Foods</w:t>
            </w:r>
          </w:p>
        </w:tc>
        <w:tc>
          <w:tcPr>
            <w:tcW w:w="1728" w:type="dxa"/>
          </w:tcPr>
          <w:p w14:paraId="6DDDD802"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1.021602946044356</w:t>
            </w:r>
          </w:p>
        </w:tc>
        <w:tc>
          <w:tcPr>
            <w:tcW w:w="1728" w:type="dxa"/>
          </w:tcPr>
          <w:p w14:paraId="72B4C4C7"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&lt;0.001</w:t>
            </w:r>
          </w:p>
        </w:tc>
      </w:tr>
      <w:tr w:rsidR="009B6D8F" w:rsidRPr="00766B78" w14:paraId="4DE57025" w14:textId="77777777">
        <w:tc>
          <w:tcPr>
            <w:tcW w:w="1728" w:type="dxa"/>
          </w:tcPr>
          <w:p w14:paraId="122EEDE9"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Male Middle-aged (40-59y) MetS+</w:t>
            </w:r>
          </w:p>
        </w:tc>
        <w:tc>
          <w:tcPr>
            <w:tcW w:w="1728" w:type="dxa"/>
          </w:tcPr>
          <w:p w14:paraId="2D69AD9B"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Processed Foods</w:t>
            </w:r>
          </w:p>
        </w:tc>
        <w:tc>
          <w:tcPr>
            <w:tcW w:w="1728" w:type="dxa"/>
          </w:tcPr>
          <w:p w14:paraId="4A35E25C"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Sugar-Sweetened Beverages</w:t>
            </w:r>
          </w:p>
        </w:tc>
        <w:tc>
          <w:tcPr>
            <w:tcW w:w="1728" w:type="dxa"/>
          </w:tcPr>
          <w:p w14:paraId="1039AF1A"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0.9011171356455079</w:t>
            </w:r>
          </w:p>
        </w:tc>
        <w:tc>
          <w:tcPr>
            <w:tcW w:w="1728" w:type="dxa"/>
          </w:tcPr>
          <w:p w14:paraId="0FFF3D75"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&lt;0.001</w:t>
            </w:r>
          </w:p>
        </w:tc>
      </w:tr>
      <w:tr w:rsidR="009B6D8F" w:rsidRPr="00766B78" w14:paraId="46C0ABC5" w14:textId="77777777">
        <w:tc>
          <w:tcPr>
            <w:tcW w:w="1728" w:type="dxa"/>
          </w:tcPr>
          <w:p w14:paraId="760C0F95"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Female Middle-aged (40-59y) MetS+</w:t>
            </w:r>
          </w:p>
        </w:tc>
        <w:tc>
          <w:tcPr>
            <w:tcW w:w="1728" w:type="dxa"/>
          </w:tcPr>
          <w:p w14:paraId="47BEC6A8"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High Fat Meat</w:t>
            </w:r>
          </w:p>
        </w:tc>
        <w:tc>
          <w:tcPr>
            <w:tcW w:w="1728" w:type="dxa"/>
          </w:tcPr>
          <w:p w14:paraId="7CD7FAB6"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Processed Foods</w:t>
            </w:r>
          </w:p>
        </w:tc>
        <w:tc>
          <w:tcPr>
            <w:tcW w:w="1728" w:type="dxa"/>
          </w:tcPr>
          <w:p w14:paraId="04BA169A"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0.8868957129826696</w:t>
            </w:r>
          </w:p>
        </w:tc>
        <w:tc>
          <w:tcPr>
            <w:tcW w:w="1728" w:type="dxa"/>
          </w:tcPr>
          <w:p w14:paraId="7201B66F"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&lt;0.001</w:t>
            </w:r>
          </w:p>
        </w:tc>
      </w:tr>
      <w:tr w:rsidR="009B6D8F" w:rsidRPr="00766B78" w14:paraId="1DC29AA6" w14:textId="77777777">
        <w:tc>
          <w:tcPr>
            <w:tcW w:w="1728" w:type="dxa"/>
          </w:tcPr>
          <w:p w14:paraId="688A9089"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Male Middle-aged (40-59y) MetS+</w:t>
            </w:r>
          </w:p>
        </w:tc>
        <w:tc>
          <w:tcPr>
            <w:tcW w:w="1728" w:type="dxa"/>
          </w:tcPr>
          <w:p w14:paraId="26D7CE28"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Fried Foods</w:t>
            </w:r>
          </w:p>
        </w:tc>
        <w:tc>
          <w:tcPr>
            <w:tcW w:w="1728" w:type="dxa"/>
          </w:tcPr>
          <w:p w14:paraId="400CAE12"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High Fat Meat</w:t>
            </w:r>
          </w:p>
        </w:tc>
        <w:tc>
          <w:tcPr>
            <w:tcW w:w="1728" w:type="dxa"/>
          </w:tcPr>
          <w:p w14:paraId="417EC4B3"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0.8723767207521722</w:t>
            </w:r>
          </w:p>
        </w:tc>
        <w:tc>
          <w:tcPr>
            <w:tcW w:w="1728" w:type="dxa"/>
          </w:tcPr>
          <w:p w14:paraId="374CF0E7"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&lt;0.001</w:t>
            </w:r>
          </w:p>
        </w:tc>
      </w:tr>
      <w:tr w:rsidR="009B6D8F" w:rsidRPr="00766B78" w14:paraId="4704190D" w14:textId="77777777">
        <w:tc>
          <w:tcPr>
            <w:tcW w:w="1728" w:type="dxa"/>
          </w:tcPr>
          <w:p w14:paraId="4DB385C8"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Male Young (20-39y) MetS+</w:t>
            </w:r>
          </w:p>
        </w:tc>
        <w:tc>
          <w:tcPr>
            <w:tcW w:w="1728" w:type="dxa"/>
          </w:tcPr>
          <w:p w14:paraId="7B201B53"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Fried Foods</w:t>
            </w:r>
          </w:p>
        </w:tc>
        <w:tc>
          <w:tcPr>
            <w:tcW w:w="1728" w:type="dxa"/>
          </w:tcPr>
          <w:p w14:paraId="19C53EE8"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High Fat Meat</w:t>
            </w:r>
          </w:p>
        </w:tc>
        <w:tc>
          <w:tcPr>
            <w:tcW w:w="1728" w:type="dxa"/>
          </w:tcPr>
          <w:p w14:paraId="3F0B1895"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0.8574450404170131</w:t>
            </w:r>
          </w:p>
        </w:tc>
        <w:tc>
          <w:tcPr>
            <w:tcW w:w="1728" w:type="dxa"/>
          </w:tcPr>
          <w:p w14:paraId="27BADEDA"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&lt;0.001</w:t>
            </w:r>
          </w:p>
        </w:tc>
      </w:tr>
      <w:tr w:rsidR="009B6D8F" w:rsidRPr="00766B78" w14:paraId="60DC637D" w14:textId="77777777">
        <w:tc>
          <w:tcPr>
            <w:tcW w:w="1728" w:type="dxa"/>
          </w:tcPr>
          <w:p w14:paraId="0341E8FC"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Female Young (20-39y) MetS-</w:t>
            </w:r>
          </w:p>
        </w:tc>
        <w:tc>
          <w:tcPr>
            <w:tcW w:w="1728" w:type="dxa"/>
          </w:tcPr>
          <w:p w14:paraId="1293B62F"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Fried Foods</w:t>
            </w:r>
          </w:p>
        </w:tc>
        <w:tc>
          <w:tcPr>
            <w:tcW w:w="1728" w:type="dxa"/>
          </w:tcPr>
          <w:p w14:paraId="47C0EA1D"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High Fat Meat</w:t>
            </w:r>
          </w:p>
        </w:tc>
        <w:tc>
          <w:tcPr>
            <w:tcW w:w="1728" w:type="dxa"/>
          </w:tcPr>
          <w:p w14:paraId="4EE23E7D"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0.8476223347139131</w:t>
            </w:r>
          </w:p>
        </w:tc>
        <w:tc>
          <w:tcPr>
            <w:tcW w:w="1728" w:type="dxa"/>
          </w:tcPr>
          <w:p w14:paraId="58842716"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&lt;0.001</w:t>
            </w:r>
          </w:p>
        </w:tc>
      </w:tr>
      <w:tr w:rsidR="009B6D8F" w:rsidRPr="00766B78" w14:paraId="534CDFF0" w14:textId="77777777">
        <w:tc>
          <w:tcPr>
            <w:tcW w:w="1728" w:type="dxa"/>
          </w:tcPr>
          <w:p w14:paraId="01E18CDA"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Male Young (20-39y) MetS+</w:t>
            </w:r>
          </w:p>
        </w:tc>
        <w:tc>
          <w:tcPr>
            <w:tcW w:w="1728" w:type="dxa"/>
          </w:tcPr>
          <w:p w14:paraId="44E543E3"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Fried Foods</w:t>
            </w:r>
          </w:p>
        </w:tc>
        <w:tc>
          <w:tcPr>
            <w:tcW w:w="1728" w:type="dxa"/>
          </w:tcPr>
          <w:p w14:paraId="2A6A3A41"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Processed Foods</w:t>
            </w:r>
          </w:p>
        </w:tc>
        <w:tc>
          <w:tcPr>
            <w:tcW w:w="1728" w:type="dxa"/>
          </w:tcPr>
          <w:p w14:paraId="4849917A"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0.8286620835536755</w:t>
            </w:r>
          </w:p>
        </w:tc>
        <w:tc>
          <w:tcPr>
            <w:tcW w:w="1728" w:type="dxa"/>
          </w:tcPr>
          <w:p w14:paraId="495EC232"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&lt;0.001</w:t>
            </w:r>
          </w:p>
        </w:tc>
      </w:tr>
      <w:tr w:rsidR="009B6D8F" w:rsidRPr="00766B78" w14:paraId="0C8D0E14" w14:textId="77777777">
        <w:tc>
          <w:tcPr>
            <w:tcW w:w="1728" w:type="dxa"/>
          </w:tcPr>
          <w:p w14:paraId="4737E9FB"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 xml:space="preserve">Female Middle-aged </w:t>
            </w:r>
            <w:r w:rsidRPr="00766B78">
              <w:rPr>
                <w:rFonts w:ascii="Arial" w:hAnsi="Arial" w:cs="Arial"/>
                <w:sz w:val="24"/>
                <w:szCs w:val="24"/>
              </w:rPr>
              <w:lastRenderedPageBreak/>
              <w:t>(40-59y) MetS+</w:t>
            </w:r>
          </w:p>
        </w:tc>
        <w:tc>
          <w:tcPr>
            <w:tcW w:w="1728" w:type="dxa"/>
          </w:tcPr>
          <w:p w14:paraId="47181C52"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lastRenderedPageBreak/>
              <w:t>Processed Foods</w:t>
            </w:r>
          </w:p>
        </w:tc>
        <w:tc>
          <w:tcPr>
            <w:tcW w:w="1728" w:type="dxa"/>
          </w:tcPr>
          <w:p w14:paraId="03036357"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Fried Foods</w:t>
            </w:r>
          </w:p>
        </w:tc>
        <w:tc>
          <w:tcPr>
            <w:tcW w:w="1728" w:type="dxa"/>
          </w:tcPr>
          <w:p w14:paraId="3406A326"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0.7920661157024793</w:t>
            </w:r>
          </w:p>
        </w:tc>
        <w:tc>
          <w:tcPr>
            <w:tcW w:w="1728" w:type="dxa"/>
          </w:tcPr>
          <w:p w14:paraId="7DADB887"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&lt;0.001</w:t>
            </w:r>
          </w:p>
        </w:tc>
      </w:tr>
      <w:tr w:rsidR="009B6D8F" w:rsidRPr="00766B78" w14:paraId="0C604EBE" w14:textId="77777777">
        <w:tc>
          <w:tcPr>
            <w:tcW w:w="1728" w:type="dxa"/>
          </w:tcPr>
          <w:p w14:paraId="1A61D27C"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Male Young (20-39y) MetS-</w:t>
            </w:r>
          </w:p>
        </w:tc>
        <w:tc>
          <w:tcPr>
            <w:tcW w:w="1728" w:type="dxa"/>
          </w:tcPr>
          <w:p w14:paraId="35D4A1E2"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Processed Foods</w:t>
            </w:r>
          </w:p>
        </w:tc>
        <w:tc>
          <w:tcPr>
            <w:tcW w:w="1728" w:type="dxa"/>
          </w:tcPr>
          <w:p w14:paraId="395335D7"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Sugar-Sweetened Beverages</w:t>
            </w:r>
          </w:p>
        </w:tc>
        <w:tc>
          <w:tcPr>
            <w:tcW w:w="1728" w:type="dxa"/>
          </w:tcPr>
          <w:p w14:paraId="484551AC"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0.7750171384993572</w:t>
            </w:r>
          </w:p>
        </w:tc>
        <w:tc>
          <w:tcPr>
            <w:tcW w:w="1728" w:type="dxa"/>
          </w:tcPr>
          <w:p w14:paraId="265B01C9"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&lt;0.001</w:t>
            </w:r>
          </w:p>
        </w:tc>
      </w:tr>
      <w:tr w:rsidR="009B6D8F" w:rsidRPr="00766B78" w14:paraId="6596DC0E" w14:textId="77777777">
        <w:tc>
          <w:tcPr>
            <w:tcW w:w="1728" w:type="dxa"/>
          </w:tcPr>
          <w:p w14:paraId="65B996E1"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Male Middle-aged (40-59y) MetS-</w:t>
            </w:r>
          </w:p>
        </w:tc>
        <w:tc>
          <w:tcPr>
            <w:tcW w:w="1728" w:type="dxa"/>
          </w:tcPr>
          <w:p w14:paraId="1BDE16FF"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Processed Foods</w:t>
            </w:r>
          </w:p>
        </w:tc>
        <w:tc>
          <w:tcPr>
            <w:tcW w:w="1728" w:type="dxa"/>
          </w:tcPr>
          <w:p w14:paraId="322505A3"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Sugar-Sweetened Beverages</w:t>
            </w:r>
          </w:p>
        </w:tc>
        <w:tc>
          <w:tcPr>
            <w:tcW w:w="1728" w:type="dxa"/>
          </w:tcPr>
          <w:p w14:paraId="5155FF40"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0.7334994502975976</w:t>
            </w:r>
          </w:p>
        </w:tc>
        <w:tc>
          <w:tcPr>
            <w:tcW w:w="1728" w:type="dxa"/>
          </w:tcPr>
          <w:p w14:paraId="6B2E2D90"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&lt;0.001</w:t>
            </w:r>
          </w:p>
        </w:tc>
      </w:tr>
      <w:tr w:rsidR="009B6D8F" w:rsidRPr="00766B78" w14:paraId="3683000A" w14:textId="77777777">
        <w:tc>
          <w:tcPr>
            <w:tcW w:w="1728" w:type="dxa"/>
          </w:tcPr>
          <w:p w14:paraId="6784F0C1"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Male Middle-aged (40-59y) MetS+</w:t>
            </w:r>
          </w:p>
        </w:tc>
        <w:tc>
          <w:tcPr>
            <w:tcW w:w="1728" w:type="dxa"/>
          </w:tcPr>
          <w:p w14:paraId="72151CFD"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Fried Foods</w:t>
            </w:r>
          </w:p>
        </w:tc>
        <w:tc>
          <w:tcPr>
            <w:tcW w:w="1728" w:type="dxa"/>
          </w:tcPr>
          <w:p w14:paraId="2F05FFEF"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Processed Foods</w:t>
            </w:r>
          </w:p>
        </w:tc>
        <w:tc>
          <w:tcPr>
            <w:tcW w:w="1728" w:type="dxa"/>
          </w:tcPr>
          <w:p w14:paraId="14384E91"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0.729638592454477</w:t>
            </w:r>
          </w:p>
        </w:tc>
        <w:tc>
          <w:tcPr>
            <w:tcW w:w="1728" w:type="dxa"/>
          </w:tcPr>
          <w:p w14:paraId="4F2AC2E1"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&lt;0.001</w:t>
            </w:r>
          </w:p>
        </w:tc>
      </w:tr>
      <w:tr w:rsidR="009B6D8F" w:rsidRPr="00766B78" w14:paraId="616FD1E9" w14:textId="77777777">
        <w:tc>
          <w:tcPr>
            <w:tcW w:w="1728" w:type="dxa"/>
          </w:tcPr>
          <w:p w14:paraId="5AA5525A"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Female Older (60-79y) MetS+</w:t>
            </w:r>
          </w:p>
        </w:tc>
        <w:tc>
          <w:tcPr>
            <w:tcW w:w="1728" w:type="dxa"/>
          </w:tcPr>
          <w:p w14:paraId="135534EB"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Protein Foods</w:t>
            </w:r>
          </w:p>
        </w:tc>
        <w:tc>
          <w:tcPr>
            <w:tcW w:w="1728" w:type="dxa"/>
          </w:tcPr>
          <w:p w14:paraId="46DBD644"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Vegetables</w:t>
            </w:r>
          </w:p>
        </w:tc>
        <w:tc>
          <w:tcPr>
            <w:tcW w:w="1728" w:type="dxa"/>
          </w:tcPr>
          <w:p w14:paraId="7AB7BFB3"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0.7068509984639015</w:t>
            </w:r>
          </w:p>
        </w:tc>
        <w:tc>
          <w:tcPr>
            <w:tcW w:w="1728" w:type="dxa"/>
          </w:tcPr>
          <w:p w14:paraId="76421D6D"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&lt;0.001</w:t>
            </w:r>
          </w:p>
        </w:tc>
      </w:tr>
      <w:tr w:rsidR="009B6D8F" w:rsidRPr="00766B78" w14:paraId="47BC829B" w14:textId="77777777">
        <w:tc>
          <w:tcPr>
            <w:tcW w:w="1728" w:type="dxa"/>
          </w:tcPr>
          <w:p w14:paraId="19D4C677"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Male Young (20-39y) MetS-</w:t>
            </w:r>
          </w:p>
        </w:tc>
        <w:tc>
          <w:tcPr>
            <w:tcW w:w="1728" w:type="dxa"/>
          </w:tcPr>
          <w:p w14:paraId="12CE8F83"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Processed Foods</w:t>
            </w:r>
          </w:p>
        </w:tc>
        <w:tc>
          <w:tcPr>
            <w:tcW w:w="1728" w:type="dxa"/>
          </w:tcPr>
          <w:p w14:paraId="1964449F"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High Fat Meat</w:t>
            </w:r>
          </w:p>
        </w:tc>
        <w:tc>
          <w:tcPr>
            <w:tcW w:w="1728" w:type="dxa"/>
          </w:tcPr>
          <w:p w14:paraId="36A94BCC"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0.703927860101168</w:t>
            </w:r>
          </w:p>
        </w:tc>
        <w:tc>
          <w:tcPr>
            <w:tcW w:w="1728" w:type="dxa"/>
          </w:tcPr>
          <w:p w14:paraId="17CDA841"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&lt;0.001</w:t>
            </w:r>
          </w:p>
        </w:tc>
      </w:tr>
      <w:tr w:rsidR="009B6D8F" w:rsidRPr="00766B78" w14:paraId="1BDBED7F" w14:textId="77777777">
        <w:tc>
          <w:tcPr>
            <w:tcW w:w="1728" w:type="dxa"/>
          </w:tcPr>
          <w:p w14:paraId="25EB489B"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Male Young (20-39y) MetS-</w:t>
            </w:r>
          </w:p>
        </w:tc>
        <w:tc>
          <w:tcPr>
            <w:tcW w:w="1728" w:type="dxa"/>
          </w:tcPr>
          <w:p w14:paraId="4E4D230C"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Protein Foods</w:t>
            </w:r>
          </w:p>
        </w:tc>
        <w:tc>
          <w:tcPr>
            <w:tcW w:w="1728" w:type="dxa"/>
          </w:tcPr>
          <w:p w14:paraId="00465ACE"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Vegetables</w:t>
            </w:r>
          </w:p>
        </w:tc>
        <w:tc>
          <w:tcPr>
            <w:tcW w:w="1728" w:type="dxa"/>
          </w:tcPr>
          <w:p w14:paraId="26164357"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0.6893101101225381</w:t>
            </w:r>
          </w:p>
        </w:tc>
        <w:tc>
          <w:tcPr>
            <w:tcW w:w="1728" w:type="dxa"/>
          </w:tcPr>
          <w:p w14:paraId="3F22246B"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&lt;0.001</w:t>
            </w:r>
          </w:p>
        </w:tc>
      </w:tr>
      <w:tr w:rsidR="009B6D8F" w:rsidRPr="00766B78" w14:paraId="2E57AD19" w14:textId="77777777">
        <w:tc>
          <w:tcPr>
            <w:tcW w:w="1728" w:type="dxa"/>
          </w:tcPr>
          <w:p w14:paraId="5F32E5B2"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Female Young (20-39y) MetS-</w:t>
            </w:r>
          </w:p>
        </w:tc>
        <w:tc>
          <w:tcPr>
            <w:tcW w:w="1728" w:type="dxa"/>
          </w:tcPr>
          <w:p w14:paraId="3EA2BF39"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Fried Foods</w:t>
            </w:r>
          </w:p>
        </w:tc>
        <w:tc>
          <w:tcPr>
            <w:tcW w:w="1728" w:type="dxa"/>
          </w:tcPr>
          <w:p w14:paraId="048EB438"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Processed Foods</w:t>
            </w:r>
          </w:p>
        </w:tc>
        <w:tc>
          <w:tcPr>
            <w:tcW w:w="1728" w:type="dxa"/>
          </w:tcPr>
          <w:p w14:paraId="71A478E5"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0.6743672342383802</w:t>
            </w:r>
          </w:p>
        </w:tc>
        <w:tc>
          <w:tcPr>
            <w:tcW w:w="1728" w:type="dxa"/>
          </w:tcPr>
          <w:p w14:paraId="4DBEDE01"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&lt;0.001</w:t>
            </w:r>
          </w:p>
        </w:tc>
      </w:tr>
      <w:tr w:rsidR="009B6D8F" w:rsidRPr="00766B78" w14:paraId="7131E1BC" w14:textId="77777777">
        <w:tc>
          <w:tcPr>
            <w:tcW w:w="1728" w:type="dxa"/>
          </w:tcPr>
          <w:p w14:paraId="74985EA9"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Male Middle-aged (40-59y) MetS+</w:t>
            </w:r>
          </w:p>
        </w:tc>
        <w:tc>
          <w:tcPr>
            <w:tcW w:w="1728" w:type="dxa"/>
          </w:tcPr>
          <w:p w14:paraId="14747DA5"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Protein Foods</w:t>
            </w:r>
          </w:p>
        </w:tc>
        <w:tc>
          <w:tcPr>
            <w:tcW w:w="1728" w:type="dxa"/>
          </w:tcPr>
          <w:p w14:paraId="5404ED58"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Vegetables</w:t>
            </w:r>
          </w:p>
        </w:tc>
        <w:tc>
          <w:tcPr>
            <w:tcW w:w="1728" w:type="dxa"/>
          </w:tcPr>
          <w:p w14:paraId="5C1230F8"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0.6735244704854</w:t>
            </w:r>
          </w:p>
        </w:tc>
        <w:tc>
          <w:tcPr>
            <w:tcW w:w="1728" w:type="dxa"/>
          </w:tcPr>
          <w:p w14:paraId="40ED786E"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&lt;0.001</w:t>
            </w:r>
          </w:p>
        </w:tc>
      </w:tr>
      <w:tr w:rsidR="009B6D8F" w:rsidRPr="00766B78" w14:paraId="50FECFC4" w14:textId="77777777">
        <w:tc>
          <w:tcPr>
            <w:tcW w:w="1728" w:type="dxa"/>
          </w:tcPr>
          <w:p w14:paraId="21ADD7F8"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Male Older (60-79y) MetS+</w:t>
            </w:r>
          </w:p>
        </w:tc>
        <w:tc>
          <w:tcPr>
            <w:tcW w:w="1728" w:type="dxa"/>
          </w:tcPr>
          <w:p w14:paraId="25430383"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Protein Foods</w:t>
            </w:r>
          </w:p>
        </w:tc>
        <w:tc>
          <w:tcPr>
            <w:tcW w:w="1728" w:type="dxa"/>
          </w:tcPr>
          <w:p w14:paraId="16EA77D5"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Vegetables</w:t>
            </w:r>
          </w:p>
        </w:tc>
        <w:tc>
          <w:tcPr>
            <w:tcW w:w="1728" w:type="dxa"/>
          </w:tcPr>
          <w:p w14:paraId="3C03E58B"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0.6618201490206577</w:t>
            </w:r>
          </w:p>
        </w:tc>
        <w:tc>
          <w:tcPr>
            <w:tcW w:w="1728" w:type="dxa"/>
          </w:tcPr>
          <w:p w14:paraId="7C89E40D"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&lt;0.001</w:t>
            </w:r>
          </w:p>
        </w:tc>
      </w:tr>
      <w:tr w:rsidR="009B6D8F" w:rsidRPr="00766B78" w14:paraId="4F6CDA86" w14:textId="77777777">
        <w:tc>
          <w:tcPr>
            <w:tcW w:w="1728" w:type="dxa"/>
          </w:tcPr>
          <w:p w14:paraId="5A757495"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Male Older (60-79y) MetS-</w:t>
            </w:r>
          </w:p>
        </w:tc>
        <w:tc>
          <w:tcPr>
            <w:tcW w:w="1728" w:type="dxa"/>
          </w:tcPr>
          <w:p w14:paraId="670664EC"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Protein Foods</w:t>
            </w:r>
          </w:p>
        </w:tc>
        <w:tc>
          <w:tcPr>
            <w:tcW w:w="1728" w:type="dxa"/>
          </w:tcPr>
          <w:p w14:paraId="7B5AA80B"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Vegetables</w:t>
            </w:r>
          </w:p>
        </w:tc>
        <w:tc>
          <w:tcPr>
            <w:tcW w:w="1728" w:type="dxa"/>
          </w:tcPr>
          <w:p w14:paraId="5FEDA6EE"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0.6574006982412226</w:t>
            </w:r>
          </w:p>
        </w:tc>
        <w:tc>
          <w:tcPr>
            <w:tcW w:w="1728" w:type="dxa"/>
          </w:tcPr>
          <w:p w14:paraId="3B29D8BF"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&lt;0.001</w:t>
            </w:r>
          </w:p>
        </w:tc>
      </w:tr>
      <w:tr w:rsidR="009B6D8F" w:rsidRPr="00766B78" w14:paraId="4F08481C" w14:textId="77777777">
        <w:tc>
          <w:tcPr>
            <w:tcW w:w="1728" w:type="dxa"/>
          </w:tcPr>
          <w:p w14:paraId="1E0816EE"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Male Middle-</w:t>
            </w:r>
            <w:r w:rsidRPr="00766B78">
              <w:rPr>
                <w:rFonts w:ascii="Arial" w:hAnsi="Arial" w:cs="Arial"/>
                <w:sz w:val="24"/>
                <w:szCs w:val="24"/>
              </w:rPr>
              <w:lastRenderedPageBreak/>
              <w:t>aged (40-59y) MetS-</w:t>
            </w:r>
          </w:p>
        </w:tc>
        <w:tc>
          <w:tcPr>
            <w:tcW w:w="1728" w:type="dxa"/>
          </w:tcPr>
          <w:p w14:paraId="3764708B"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lastRenderedPageBreak/>
              <w:t xml:space="preserve">Processed </w:t>
            </w:r>
            <w:r w:rsidRPr="00766B78">
              <w:rPr>
                <w:rFonts w:ascii="Arial" w:hAnsi="Arial" w:cs="Arial"/>
                <w:sz w:val="24"/>
                <w:szCs w:val="24"/>
              </w:rPr>
              <w:lastRenderedPageBreak/>
              <w:t>Foods</w:t>
            </w:r>
          </w:p>
        </w:tc>
        <w:tc>
          <w:tcPr>
            <w:tcW w:w="1728" w:type="dxa"/>
          </w:tcPr>
          <w:p w14:paraId="233E544C"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lastRenderedPageBreak/>
              <w:t>Fried Foods</w:t>
            </w:r>
          </w:p>
        </w:tc>
        <w:tc>
          <w:tcPr>
            <w:tcW w:w="1728" w:type="dxa"/>
          </w:tcPr>
          <w:p w14:paraId="2934AC3F"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0.6547845936280474</w:t>
            </w:r>
          </w:p>
        </w:tc>
        <w:tc>
          <w:tcPr>
            <w:tcW w:w="1728" w:type="dxa"/>
          </w:tcPr>
          <w:p w14:paraId="64C0AF0C"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&lt;0.001</w:t>
            </w:r>
          </w:p>
        </w:tc>
      </w:tr>
    </w:tbl>
    <w:p w14:paraId="0BC33178" w14:textId="77777777" w:rsidR="009B6D8F" w:rsidRPr="00766B78" w:rsidRDefault="009B6D8F" w:rsidP="000E6FD4">
      <w:pPr>
        <w:jc w:val="both"/>
        <w:rPr>
          <w:rFonts w:ascii="Arial" w:hAnsi="Arial" w:cs="Arial"/>
          <w:sz w:val="24"/>
          <w:szCs w:val="24"/>
        </w:rPr>
      </w:pPr>
    </w:p>
    <w:p w14:paraId="4E72644A" w14:textId="77777777" w:rsidR="000E6FD4" w:rsidRPr="00766B78" w:rsidRDefault="000E6FD4">
      <w:pPr>
        <w:rPr>
          <w:rFonts w:ascii="Arial" w:hAnsi="Arial" w:cs="Arial"/>
          <w:b/>
          <w:sz w:val="24"/>
          <w:szCs w:val="24"/>
        </w:rPr>
      </w:pPr>
      <w:r w:rsidRPr="00766B78">
        <w:rPr>
          <w:rFonts w:ascii="Arial" w:hAnsi="Arial" w:cs="Arial"/>
          <w:b/>
          <w:sz w:val="24"/>
          <w:szCs w:val="24"/>
        </w:rPr>
        <w:br w:type="page"/>
      </w:r>
    </w:p>
    <w:p w14:paraId="5A4D6D28" w14:textId="375EE48A" w:rsidR="009B6D8F" w:rsidRPr="00766B78" w:rsidRDefault="00000000" w:rsidP="000E6FD4">
      <w:pPr>
        <w:jc w:val="both"/>
        <w:rPr>
          <w:rFonts w:ascii="Arial" w:hAnsi="Arial" w:cs="Arial"/>
          <w:sz w:val="24"/>
          <w:szCs w:val="24"/>
        </w:rPr>
      </w:pPr>
      <w:r w:rsidRPr="00766B78">
        <w:rPr>
          <w:rFonts w:ascii="Arial" w:hAnsi="Arial" w:cs="Arial"/>
          <w:b/>
          <w:sz w:val="24"/>
          <w:szCs w:val="24"/>
        </w:rPr>
        <w:lastRenderedPageBreak/>
        <w:t>Table 2. Health Leverage: Hub Foods and Metabolic Indicators</w:t>
      </w:r>
    </w:p>
    <w:p w14:paraId="23F5F0C4" w14:textId="161ED1AF" w:rsidR="009B6D8F" w:rsidRPr="00766B78" w:rsidRDefault="00000000" w:rsidP="000E6FD4">
      <w:pPr>
        <w:jc w:val="both"/>
        <w:rPr>
          <w:rFonts w:ascii="Arial" w:hAnsi="Arial" w:cs="Arial"/>
          <w:sz w:val="24"/>
          <w:szCs w:val="24"/>
        </w:rPr>
      </w:pPr>
      <w:r w:rsidRPr="00766B78">
        <w:rPr>
          <w:rFonts w:ascii="Arial" w:hAnsi="Arial" w:cs="Arial"/>
          <w:i/>
          <w:sz w:val="24"/>
          <w:szCs w:val="24"/>
        </w:rPr>
        <w:t>Significant associations (P&lt;0.05). Total 224; significant 21 (9.4%).</w:t>
      </w:r>
    </w:p>
    <w:tbl>
      <w:tblPr>
        <w:tblStyle w:val="36"/>
        <w:tblW w:w="0" w:type="auto"/>
        <w:tblLook w:val="04A0" w:firstRow="1" w:lastRow="0" w:firstColumn="1" w:lastColumn="0" w:noHBand="0" w:noVBand="1"/>
      </w:tblPr>
      <w:tblGrid>
        <w:gridCol w:w="1598"/>
        <w:gridCol w:w="1087"/>
        <w:gridCol w:w="1309"/>
        <w:gridCol w:w="1909"/>
        <w:gridCol w:w="1002"/>
        <w:gridCol w:w="806"/>
        <w:gridCol w:w="1145"/>
      </w:tblGrid>
      <w:tr w:rsidR="009B6D8F" w:rsidRPr="00766B78" w14:paraId="02F61413" w14:textId="77777777" w:rsidTr="000E6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88" w:type="dxa"/>
          </w:tcPr>
          <w:p w14:paraId="2D225F9A"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Demographic-Metabolic Group</w:t>
            </w:r>
          </w:p>
        </w:tc>
        <w:tc>
          <w:tcPr>
            <w:tcW w:w="1149" w:type="dxa"/>
          </w:tcPr>
          <w:p w14:paraId="1ABA6CF7" w14:textId="77777777" w:rsidR="009B6D8F" w:rsidRPr="00766B78" w:rsidRDefault="00000000" w:rsidP="000E6FD4">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Hub Food</w:t>
            </w:r>
          </w:p>
        </w:tc>
        <w:tc>
          <w:tcPr>
            <w:tcW w:w="1388" w:type="dxa"/>
          </w:tcPr>
          <w:p w14:paraId="7CF30749" w14:textId="77777777" w:rsidR="009B6D8F" w:rsidRPr="00766B78" w:rsidRDefault="00000000" w:rsidP="000E6FD4">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Metabolic Indicator</w:t>
            </w:r>
          </w:p>
        </w:tc>
        <w:tc>
          <w:tcPr>
            <w:tcW w:w="2032" w:type="dxa"/>
          </w:tcPr>
          <w:p w14:paraId="126B6745" w14:textId="77777777" w:rsidR="009B6D8F" w:rsidRPr="00766B78" w:rsidRDefault="00000000" w:rsidP="000E6FD4">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Mean Difference</w:t>
            </w:r>
          </w:p>
        </w:tc>
        <w:tc>
          <w:tcPr>
            <w:tcW w:w="895" w:type="dxa"/>
          </w:tcPr>
          <w:p w14:paraId="3D657D2F" w14:textId="77777777" w:rsidR="009B6D8F" w:rsidRPr="00766B78" w:rsidRDefault="00000000" w:rsidP="000E6FD4">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Cohen's d</w:t>
            </w:r>
          </w:p>
        </w:tc>
        <w:tc>
          <w:tcPr>
            <w:tcW w:w="792" w:type="dxa"/>
          </w:tcPr>
          <w:p w14:paraId="798059F9" w14:textId="77777777" w:rsidR="009B6D8F" w:rsidRPr="00766B78" w:rsidRDefault="00000000" w:rsidP="000E6FD4">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P-value</w:t>
            </w:r>
          </w:p>
        </w:tc>
        <w:tc>
          <w:tcPr>
            <w:tcW w:w="1212" w:type="dxa"/>
          </w:tcPr>
          <w:p w14:paraId="4C08A6DC" w14:textId="77777777" w:rsidR="009B6D8F" w:rsidRPr="00766B78" w:rsidRDefault="00000000" w:rsidP="000E6FD4">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Effect Type</w:t>
            </w:r>
          </w:p>
        </w:tc>
      </w:tr>
      <w:tr w:rsidR="009B6D8F" w:rsidRPr="00766B78" w14:paraId="177279E1" w14:textId="77777777" w:rsidTr="000E6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dxa"/>
          </w:tcPr>
          <w:p w14:paraId="356CE1B0"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Male Middle-aged (40-59y) MetS+</w:t>
            </w:r>
          </w:p>
        </w:tc>
        <w:tc>
          <w:tcPr>
            <w:tcW w:w="1149" w:type="dxa"/>
          </w:tcPr>
          <w:p w14:paraId="2D1AED0A"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Fried Foods</w:t>
            </w:r>
          </w:p>
        </w:tc>
        <w:tc>
          <w:tcPr>
            <w:tcW w:w="1388" w:type="dxa"/>
          </w:tcPr>
          <w:p w14:paraId="7D0469C7"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Waist circumference (cm)</w:t>
            </w:r>
          </w:p>
        </w:tc>
        <w:tc>
          <w:tcPr>
            <w:tcW w:w="2032" w:type="dxa"/>
          </w:tcPr>
          <w:p w14:paraId="2D5AECA2"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2.92835521878844</w:t>
            </w:r>
          </w:p>
        </w:tc>
        <w:tc>
          <w:tcPr>
            <w:tcW w:w="895" w:type="dxa"/>
          </w:tcPr>
          <w:p w14:paraId="1434C790"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0.43</w:t>
            </w:r>
          </w:p>
        </w:tc>
        <w:tc>
          <w:tcPr>
            <w:tcW w:w="792" w:type="dxa"/>
          </w:tcPr>
          <w:p w14:paraId="47D8A871"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0.016</w:t>
            </w:r>
          </w:p>
        </w:tc>
        <w:tc>
          <w:tcPr>
            <w:tcW w:w="1212" w:type="dxa"/>
          </w:tcPr>
          <w:p w14:paraId="5DC2DBAE"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Aggravating</w:t>
            </w:r>
          </w:p>
        </w:tc>
      </w:tr>
      <w:tr w:rsidR="009B6D8F" w:rsidRPr="00766B78" w14:paraId="36B4B877" w14:textId="77777777" w:rsidTr="000E6FD4">
        <w:tc>
          <w:tcPr>
            <w:cnfStyle w:val="001000000000" w:firstRow="0" w:lastRow="0" w:firstColumn="1" w:lastColumn="0" w:oddVBand="0" w:evenVBand="0" w:oddHBand="0" w:evenHBand="0" w:firstRowFirstColumn="0" w:firstRowLastColumn="0" w:lastRowFirstColumn="0" w:lastRowLastColumn="0"/>
            <w:tcW w:w="1388" w:type="dxa"/>
          </w:tcPr>
          <w:p w14:paraId="1DBA7426"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Male Middle-aged (40-59y) MetS+</w:t>
            </w:r>
          </w:p>
        </w:tc>
        <w:tc>
          <w:tcPr>
            <w:tcW w:w="1149" w:type="dxa"/>
          </w:tcPr>
          <w:p w14:paraId="15068D41"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Processed Foods</w:t>
            </w:r>
          </w:p>
        </w:tc>
        <w:tc>
          <w:tcPr>
            <w:tcW w:w="1388" w:type="dxa"/>
          </w:tcPr>
          <w:p w14:paraId="3765B9FA"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Waist circumference (cm)</w:t>
            </w:r>
          </w:p>
        </w:tc>
        <w:tc>
          <w:tcPr>
            <w:tcW w:w="2032" w:type="dxa"/>
          </w:tcPr>
          <w:p w14:paraId="549C6A9C"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2.553320245551703</w:t>
            </w:r>
          </w:p>
        </w:tc>
        <w:tc>
          <w:tcPr>
            <w:tcW w:w="895" w:type="dxa"/>
          </w:tcPr>
          <w:p w14:paraId="0FB2C4C2"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0.38</w:t>
            </w:r>
          </w:p>
        </w:tc>
        <w:tc>
          <w:tcPr>
            <w:tcW w:w="792" w:type="dxa"/>
          </w:tcPr>
          <w:p w14:paraId="5832F109"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0.038</w:t>
            </w:r>
          </w:p>
        </w:tc>
        <w:tc>
          <w:tcPr>
            <w:tcW w:w="1212" w:type="dxa"/>
          </w:tcPr>
          <w:p w14:paraId="3555C6B4"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Aggravating</w:t>
            </w:r>
          </w:p>
        </w:tc>
      </w:tr>
      <w:tr w:rsidR="009B6D8F" w:rsidRPr="00766B78" w14:paraId="08D00C30" w14:textId="77777777" w:rsidTr="000E6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dxa"/>
          </w:tcPr>
          <w:p w14:paraId="4E15753C"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Male Middle-aged (40-59y) MetS+</w:t>
            </w:r>
          </w:p>
        </w:tc>
        <w:tc>
          <w:tcPr>
            <w:tcW w:w="1149" w:type="dxa"/>
          </w:tcPr>
          <w:p w14:paraId="283F6DFE"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Fried Foods</w:t>
            </w:r>
          </w:p>
        </w:tc>
        <w:tc>
          <w:tcPr>
            <w:tcW w:w="1388" w:type="dxa"/>
          </w:tcPr>
          <w:p w14:paraId="246B7208"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gramStart"/>
            <w:r w:rsidRPr="00766B78">
              <w:rPr>
                <w:rFonts w:ascii="Arial" w:hAnsi="Arial" w:cs="Arial"/>
                <w:sz w:val="24"/>
                <w:szCs w:val="24"/>
              </w:rPr>
              <w:t>BMI(</w:t>
            </w:r>
            <w:proofErr w:type="gramEnd"/>
            <w:r w:rsidRPr="00766B78">
              <w:rPr>
                <w:rFonts w:ascii="Arial" w:hAnsi="Arial" w:cs="Arial"/>
                <w:sz w:val="24"/>
                <w:szCs w:val="24"/>
              </w:rPr>
              <w:t>kg/m2)</w:t>
            </w:r>
          </w:p>
        </w:tc>
        <w:tc>
          <w:tcPr>
            <w:tcW w:w="2032" w:type="dxa"/>
          </w:tcPr>
          <w:p w14:paraId="49025EB1"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1.014886737810919</w:t>
            </w:r>
          </w:p>
        </w:tc>
        <w:tc>
          <w:tcPr>
            <w:tcW w:w="895" w:type="dxa"/>
          </w:tcPr>
          <w:p w14:paraId="7AF79892"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0.36</w:t>
            </w:r>
          </w:p>
        </w:tc>
        <w:tc>
          <w:tcPr>
            <w:tcW w:w="792" w:type="dxa"/>
          </w:tcPr>
          <w:p w14:paraId="07A504F1"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0.076</w:t>
            </w:r>
          </w:p>
        </w:tc>
        <w:tc>
          <w:tcPr>
            <w:tcW w:w="1212" w:type="dxa"/>
          </w:tcPr>
          <w:p w14:paraId="60BB343E"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Aggravating</w:t>
            </w:r>
          </w:p>
        </w:tc>
      </w:tr>
      <w:tr w:rsidR="009B6D8F" w:rsidRPr="00766B78" w14:paraId="05C5469B" w14:textId="77777777" w:rsidTr="000E6FD4">
        <w:tc>
          <w:tcPr>
            <w:cnfStyle w:val="001000000000" w:firstRow="0" w:lastRow="0" w:firstColumn="1" w:lastColumn="0" w:oddVBand="0" w:evenVBand="0" w:oddHBand="0" w:evenHBand="0" w:firstRowFirstColumn="0" w:firstRowLastColumn="0" w:lastRowFirstColumn="0" w:lastRowLastColumn="0"/>
            <w:tcW w:w="1388" w:type="dxa"/>
          </w:tcPr>
          <w:p w14:paraId="307042DD"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Male Middle-aged (40-59y) MetS+</w:t>
            </w:r>
          </w:p>
        </w:tc>
        <w:tc>
          <w:tcPr>
            <w:tcW w:w="1149" w:type="dxa"/>
          </w:tcPr>
          <w:p w14:paraId="5DC1DF51"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Processed Foods</w:t>
            </w:r>
          </w:p>
        </w:tc>
        <w:tc>
          <w:tcPr>
            <w:tcW w:w="1388" w:type="dxa"/>
          </w:tcPr>
          <w:p w14:paraId="71A107C1"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gramStart"/>
            <w:r w:rsidRPr="00766B78">
              <w:rPr>
                <w:rFonts w:ascii="Arial" w:hAnsi="Arial" w:cs="Arial"/>
                <w:sz w:val="24"/>
                <w:szCs w:val="24"/>
              </w:rPr>
              <w:t>BMI(</w:t>
            </w:r>
            <w:proofErr w:type="gramEnd"/>
            <w:r w:rsidRPr="00766B78">
              <w:rPr>
                <w:rFonts w:ascii="Arial" w:hAnsi="Arial" w:cs="Arial"/>
                <w:sz w:val="24"/>
                <w:szCs w:val="24"/>
              </w:rPr>
              <w:t>kg/m2)</w:t>
            </w:r>
          </w:p>
        </w:tc>
        <w:tc>
          <w:tcPr>
            <w:tcW w:w="2032" w:type="dxa"/>
          </w:tcPr>
          <w:p w14:paraId="49B37571"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0.9712590757533235</w:t>
            </w:r>
          </w:p>
        </w:tc>
        <w:tc>
          <w:tcPr>
            <w:tcW w:w="895" w:type="dxa"/>
          </w:tcPr>
          <w:p w14:paraId="04AD5356"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0.35</w:t>
            </w:r>
          </w:p>
        </w:tc>
        <w:tc>
          <w:tcPr>
            <w:tcW w:w="792" w:type="dxa"/>
          </w:tcPr>
          <w:p w14:paraId="0862B135"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0.076</w:t>
            </w:r>
          </w:p>
        </w:tc>
        <w:tc>
          <w:tcPr>
            <w:tcW w:w="1212" w:type="dxa"/>
          </w:tcPr>
          <w:p w14:paraId="4D35031D"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Aggravating</w:t>
            </w:r>
          </w:p>
        </w:tc>
      </w:tr>
      <w:tr w:rsidR="009B6D8F" w:rsidRPr="00766B78" w14:paraId="21F9B348" w14:textId="77777777" w:rsidTr="000E6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dxa"/>
          </w:tcPr>
          <w:p w14:paraId="7C325E54"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Male Young (20-39y) MetS+</w:t>
            </w:r>
          </w:p>
        </w:tc>
        <w:tc>
          <w:tcPr>
            <w:tcW w:w="1149" w:type="dxa"/>
          </w:tcPr>
          <w:p w14:paraId="3359BB4C"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Grain Products</w:t>
            </w:r>
          </w:p>
        </w:tc>
        <w:tc>
          <w:tcPr>
            <w:tcW w:w="1388" w:type="dxa"/>
          </w:tcPr>
          <w:p w14:paraId="147312FA"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Triglycerides (mg/dL)</w:t>
            </w:r>
          </w:p>
        </w:tc>
        <w:tc>
          <w:tcPr>
            <w:tcW w:w="2032" w:type="dxa"/>
          </w:tcPr>
          <w:p w14:paraId="1DABB56C"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43.3885582010582</w:t>
            </w:r>
          </w:p>
        </w:tc>
        <w:tc>
          <w:tcPr>
            <w:tcW w:w="895" w:type="dxa"/>
          </w:tcPr>
          <w:p w14:paraId="5F5BB757"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0.35</w:t>
            </w:r>
          </w:p>
        </w:tc>
        <w:tc>
          <w:tcPr>
            <w:tcW w:w="792" w:type="dxa"/>
          </w:tcPr>
          <w:p w14:paraId="5C956CE7"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0.042</w:t>
            </w:r>
          </w:p>
        </w:tc>
        <w:tc>
          <w:tcPr>
            <w:tcW w:w="1212" w:type="dxa"/>
          </w:tcPr>
          <w:p w14:paraId="6B7FD420"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Aggravating</w:t>
            </w:r>
          </w:p>
        </w:tc>
      </w:tr>
      <w:tr w:rsidR="009B6D8F" w:rsidRPr="00766B78" w14:paraId="3DF357C8" w14:textId="77777777" w:rsidTr="000E6FD4">
        <w:tc>
          <w:tcPr>
            <w:cnfStyle w:val="001000000000" w:firstRow="0" w:lastRow="0" w:firstColumn="1" w:lastColumn="0" w:oddVBand="0" w:evenVBand="0" w:oddHBand="0" w:evenHBand="0" w:firstRowFirstColumn="0" w:firstRowLastColumn="0" w:lastRowFirstColumn="0" w:lastRowLastColumn="0"/>
            <w:tcW w:w="1388" w:type="dxa"/>
          </w:tcPr>
          <w:p w14:paraId="035F9AF7"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Male Young (20-39y) MetS+</w:t>
            </w:r>
          </w:p>
        </w:tc>
        <w:tc>
          <w:tcPr>
            <w:tcW w:w="1149" w:type="dxa"/>
          </w:tcPr>
          <w:p w14:paraId="05C8A5FD"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Fried Foods</w:t>
            </w:r>
          </w:p>
        </w:tc>
        <w:tc>
          <w:tcPr>
            <w:tcW w:w="1388" w:type="dxa"/>
          </w:tcPr>
          <w:p w14:paraId="7D948D7C"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Fasting glucose (mg/dL)</w:t>
            </w:r>
          </w:p>
        </w:tc>
        <w:tc>
          <w:tcPr>
            <w:tcW w:w="2032" w:type="dxa"/>
          </w:tcPr>
          <w:p w14:paraId="4704BF30"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7.109465891062939</w:t>
            </w:r>
          </w:p>
        </w:tc>
        <w:tc>
          <w:tcPr>
            <w:tcW w:w="895" w:type="dxa"/>
          </w:tcPr>
          <w:p w14:paraId="1C2778EB"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0.33</w:t>
            </w:r>
          </w:p>
        </w:tc>
        <w:tc>
          <w:tcPr>
            <w:tcW w:w="792" w:type="dxa"/>
          </w:tcPr>
          <w:p w14:paraId="3156991A"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0.038</w:t>
            </w:r>
          </w:p>
        </w:tc>
        <w:tc>
          <w:tcPr>
            <w:tcW w:w="1212" w:type="dxa"/>
          </w:tcPr>
          <w:p w14:paraId="623C4A18"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Aggravating</w:t>
            </w:r>
          </w:p>
        </w:tc>
      </w:tr>
      <w:tr w:rsidR="009B6D8F" w:rsidRPr="00766B78" w14:paraId="70039D8D" w14:textId="77777777" w:rsidTr="000E6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dxa"/>
          </w:tcPr>
          <w:p w14:paraId="3B7B5E10"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Female Middle-aged (40-59y) MetS+</w:t>
            </w:r>
          </w:p>
        </w:tc>
        <w:tc>
          <w:tcPr>
            <w:tcW w:w="1149" w:type="dxa"/>
          </w:tcPr>
          <w:p w14:paraId="06D44D74"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Fried Foods</w:t>
            </w:r>
          </w:p>
        </w:tc>
        <w:tc>
          <w:tcPr>
            <w:tcW w:w="1388" w:type="dxa"/>
          </w:tcPr>
          <w:p w14:paraId="19AC131D"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Waist circumference (cm)</w:t>
            </w:r>
          </w:p>
        </w:tc>
        <w:tc>
          <w:tcPr>
            <w:tcW w:w="2032" w:type="dxa"/>
          </w:tcPr>
          <w:p w14:paraId="79660D4F"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2.203952943404275</w:t>
            </w:r>
          </w:p>
        </w:tc>
        <w:tc>
          <w:tcPr>
            <w:tcW w:w="895" w:type="dxa"/>
          </w:tcPr>
          <w:p w14:paraId="5B197E5E"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0.29</w:t>
            </w:r>
          </w:p>
        </w:tc>
        <w:tc>
          <w:tcPr>
            <w:tcW w:w="792" w:type="dxa"/>
          </w:tcPr>
          <w:p w14:paraId="7C11C0EC"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0.016</w:t>
            </w:r>
          </w:p>
        </w:tc>
        <w:tc>
          <w:tcPr>
            <w:tcW w:w="1212" w:type="dxa"/>
          </w:tcPr>
          <w:p w14:paraId="502329B3"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Aggravating</w:t>
            </w:r>
          </w:p>
        </w:tc>
      </w:tr>
      <w:tr w:rsidR="009B6D8F" w:rsidRPr="00766B78" w14:paraId="577329B4" w14:textId="77777777" w:rsidTr="000E6FD4">
        <w:tc>
          <w:tcPr>
            <w:cnfStyle w:val="001000000000" w:firstRow="0" w:lastRow="0" w:firstColumn="1" w:lastColumn="0" w:oddVBand="0" w:evenVBand="0" w:oddHBand="0" w:evenHBand="0" w:firstRowFirstColumn="0" w:firstRowLastColumn="0" w:lastRowFirstColumn="0" w:lastRowLastColumn="0"/>
            <w:tcW w:w="1388" w:type="dxa"/>
          </w:tcPr>
          <w:p w14:paraId="55C02F25"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Female Middle-aged (40-59y) MetS+</w:t>
            </w:r>
          </w:p>
        </w:tc>
        <w:tc>
          <w:tcPr>
            <w:tcW w:w="1149" w:type="dxa"/>
          </w:tcPr>
          <w:p w14:paraId="48DD811F"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Fried Foods</w:t>
            </w:r>
          </w:p>
        </w:tc>
        <w:tc>
          <w:tcPr>
            <w:tcW w:w="1388" w:type="dxa"/>
          </w:tcPr>
          <w:p w14:paraId="74AF6491"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gramStart"/>
            <w:r w:rsidRPr="00766B78">
              <w:rPr>
                <w:rFonts w:ascii="Arial" w:hAnsi="Arial" w:cs="Arial"/>
                <w:sz w:val="24"/>
                <w:szCs w:val="24"/>
              </w:rPr>
              <w:t>BMI(</w:t>
            </w:r>
            <w:proofErr w:type="gramEnd"/>
            <w:r w:rsidRPr="00766B78">
              <w:rPr>
                <w:rFonts w:ascii="Arial" w:hAnsi="Arial" w:cs="Arial"/>
                <w:sz w:val="24"/>
                <w:szCs w:val="24"/>
              </w:rPr>
              <w:t>kg/m2)</w:t>
            </w:r>
          </w:p>
        </w:tc>
        <w:tc>
          <w:tcPr>
            <w:tcW w:w="2032" w:type="dxa"/>
          </w:tcPr>
          <w:p w14:paraId="07B1F482"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0.936329206807585</w:t>
            </w:r>
          </w:p>
        </w:tc>
        <w:tc>
          <w:tcPr>
            <w:tcW w:w="895" w:type="dxa"/>
          </w:tcPr>
          <w:p w14:paraId="50FDCD02"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0.27</w:t>
            </w:r>
          </w:p>
        </w:tc>
        <w:tc>
          <w:tcPr>
            <w:tcW w:w="792" w:type="dxa"/>
          </w:tcPr>
          <w:p w14:paraId="33AE9EE4"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0.038</w:t>
            </w:r>
          </w:p>
        </w:tc>
        <w:tc>
          <w:tcPr>
            <w:tcW w:w="1212" w:type="dxa"/>
          </w:tcPr>
          <w:p w14:paraId="4D127083"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Aggravating</w:t>
            </w:r>
          </w:p>
        </w:tc>
      </w:tr>
      <w:tr w:rsidR="009B6D8F" w:rsidRPr="00766B78" w14:paraId="55033F54" w14:textId="77777777" w:rsidTr="000E6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dxa"/>
          </w:tcPr>
          <w:p w14:paraId="7813CF9B"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Female Older (60-79y) MetS+</w:t>
            </w:r>
          </w:p>
        </w:tc>
        <w:tc>
          <w:tcPr>
            <w:tcW w:w="1149" w:type="dxa"/>
          </w:tcPr>
          <w:p w14:paraId="2B1058C2"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Protein Foods</w:t>
            </w:r>
          </w:p>
        </w:tc>
        <w:tc>
          <w:tcPr>
            <w:tcW w:w="1388" w:type="dxa"/>
          </w:tcPr>
          <w:p w14:paraId="2D29D016"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HDL-C (mg/dL)</w:t>
            </w:r>
          </w:p>
        </w:tc>
        <w:tc>
          <w:tcPr>
            <w:tcW w:w="2032" w:type="dxa"/>
          </w:tcPr>
          <w:p w14:paraId="3820AC04"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2.788264208909368</w:t>
            </w:r>
          </w:p>
        </w:tc>
        <w:tc>
          <w:tcPr>
            <w:tcW w:w="895" w:type="dxa"/>
          </w:tcPr>
          <w:p w14:paraId="5873EEFE"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0.24</w:t>
            </w:r>
          </w:p>
        </w:tc>
        <w:tc>
          <w:tcPr>
            <w:tcW w:w="792" w:type="dxa"/>
          </w:tcPr>
          <w:p w14:paraId="72A4626F"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0.076</w:t>
            </w:r>
          </w:p>
        </w:tc>
        <w:tc>
          <w:tcPr>
            <w:tcW w:w="1212" w:type="dxa"/>
          </w:tcPr>
          <w:p w14:paraId="27612633"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Alleviating</w:t>
            </w:r>
          </w:p>
        </w:tc>
      </w:tr>
      <w:tr w:rsidR="009B6D8F" w:rsidRPr="00766B78" w14:paraId="557D2DA0" w14:textId="77777777" w:rsidTr="000E6FD4">
        <w:tc>
          <w:tcPr>
            <w:cnfStyle w:val="001000000000" w:firstRow="0" w:lastRow="0" w:firstColumn="1" w:lastColumn="0" w:oddVBand="0" w:evenVBand="0" w:oddHBand="0" w:evenHBand="0" w:firstRowFirstColumn="0" w:firstRowLastColumn="0" w:lastRowFirstColumn="0" w:lastRowLastColumn="0"/>
            <w:tcW w:w="1388" w:type="dxa"/>
          </w:tcPr>
          <w:p w14:paraId="78A15A52"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Male Middle-aged (40-59y) MetS+</w:t>
            </w:r>
          </w:p>
        </w:tc>
        <w:tc>
          <w:tcPr>
            <w:tcW w:w="1149" w:type="dxa"/>
          </w:tcPr>
          <w:p w14:paraId="6112EFB4"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Protein Foods</w:t>
            </w:r>
          </w:p>
        </w:tc>
        <w:tc>
          <w:tcPr>
            <w:tcW w:w="1388" w:type="dxa"/>
          </w:tcPr>
          <w:p w14:paraId="2E82A63B"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Waist circumference (cm)</w:t>
            </w:r>
          </w:p>
        </w:tc>
        <w:tc>
          <w:tcPr>
            <w:tcW w:w="2032" w:type="dxa"/>
          </w:tcPr>
          <w:p w14:paraId="652FF71A"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1.339988440809549</w:t>
            </w:r>
          </w:p>
        </w:tc>
        <w:tc>
          <w:tcPr>
            <w:tcW w:w="895" w:type="dxa"/>
          </w:tcPr>
          <w:p w14:paraId="7C27A032"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0.19</w:t>
            </w:r>
          </w:p>
        </w:tc>
        <w:tc>
          <w:tcPr>
            <w:tcW w:w="792" w:type="dxa"/>
          </w:tcPr>
          <w:p w14:paraId="173992C1"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0.006</w:t>
            </w:r>
          </w:p>
        </w:tc>
        <w:tc>
          <w:tcPr>
            <w:tcW w:w="1212" w:type="dxa"/>
          </w:tcPr>
          <w:p w14:paraId="16BFC1DE"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Aggravating</w:t>
            </w:r>
          </w:p>
        </w:tc>
      </w:tr>
      <w:tr w:rsidR="009B6D8F" w:rsidRPr="00766B78" w14:paraId="12519571" w14:textId="77777777" w:rsidTr="000E6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dxa"/>
          </w:tcPr>
          <w:p w14:paraId="3E4C3402"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Male Middle-</w:t>
            </w:r>
            <w:r w:rsidRPr="00766B78">
              <w:rPr>
                <w:rFonts w:ascii="Arial" w:hAnsi="Arial" w:cs="Arial"/>
                <w:sz w:val="24"/>
                <w:szCs w:val="24"/>
              </w:rPr>
              <w:lastRenderedPageBreak/>
              <w:t>aged (40-59y) MetS+</w:t>
            </w:r>
          </w:p>
        </w:tc>
        <w:tc>
          <w:tcPr>
            <w:tcW w:w="1149" w:type="dxa"/>
          </w:tcPr>
          <w:p w14:paraId="0C740540"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lastRenderedPageBreak/>
              <w:t>Protein Foods</w:t>
            </w:r>
          </w:p>
        </w:tc>
        <w:tc>
          <w:tcPr>
            <w:tcW w:w="1388" w:type="dxa"/>
          </w:tcPr>
          <w:p w14:paraId="59FA1787"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gramStart"/>
            <w:r w:rsidRPr="00766B78">
              <w:rPr>
                <w:rFonts w:ascii="Arial" w:hAnsi="Arial" w:cs="Arial"/>
                <w:sz w:val="24"/>
                <w:szCs w:val="24"/>
              </w:rPr>
              <w:t>BMI(</w:t>
            </w:r>
            <w:proofErr w:type="gramEnd"/>
            <w:r w:rsidRPr="00766B78">
              <w:rPr>
                <w:rFonts w:ascii="Arial" w:hAnsi="Arial" w:cs="Arial"/>
                <w:sz w:val="24"/>
                <w:szCs w:val="24"/>
              </w:rPr>
              <w:t>kg/m2)</w:t>
            </w:r>
          </w:p>
        </w:tc>
        <w:tc>
          <w:tcPr>
            <w:tcW w:w="2032" w:type="dxa"/>
          </w:tcPr>
          <w:p w14:paraId="6A65877B"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0.4298177852293286</w:t>
            </w:r>
          </w:p>
        </w:tc>
        <w:tc>
          <w:tcPr>
            <w:tcW w:w="895" w:type="dxa"/>
          </w:tcPr>
          <w:p w14:paraId="540B7A09"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0.15</w:t>
            </w:r>
          </w:p>
        </w:tc>
        <w:tc>
          <w:tcPr>
            <w:tcW w:w="792" w:type="dxa"/>
          </w:tcPr>
          <w:p w14:paraId="57558AE0"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0.043</w:t>
            </w:r>
          </w:p>
        </w:tc>
        <w:tc>
          <w:tcPr>
            <w:tcW w:w="1212" w:type="dxa"/>
          </w:tcPr>
          <w:p w14:paraId="07BDAAE4"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Aggravating</w:t>
            </w:r>
          </w:p>
        </w:tc>
      </w:tr>
      <w:tr w:rsidR="009B6D8F" w:rsidRPr="00766B78" w14:paraId="33223CCC" w14:textId="77777777" w:rsidTr="000E6FD4">
        <w:tc>
          <w:tcPr>
            <w:cnfStyle w:val="001000000000" w:firstRow="0" w:lastRow="0" w:firstColumn="1" w:lastColumn="0" w:oddVBand="0" w:evenVBand="0" w:oddHBand="0" w:evenHBand="0" w:firstRowFirstColumn="0" w:firstRowLastColumn="0" w:lastRowFirstColumn="0" w:lastRowLastColumn="0"/>
            <w:tcW w:w="1388" w:type="dxa"/>
          </w:tcPr>
          <w:p w14:paraId="5EDED4C2"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Male Middle-aged (40-59y) MetS+</w:t>
            </w:r>
          </w:p>
        </w:tc>
        <w:tc>
          <w:tcPr>
            <w:tcW w:w="1149" w:type="dxa"/>
          </w:tcPr>
          <w:p w14:paraId="259505F9"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Fried Foods</w:t>
            </w:r>
          </w:p>
        </w:tc>
        <w:tc>
          <w:tcPr>
            <w:tcW w:w="1388" w:type="dxa"/>
          </w:tcPr>
          <w:p w14:paraId="6112DFB9"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Diastolic Blood Pressure (mmHg)</w:t>
            </w:r>
          </w:p>
        </w:tc>
        <w:tc>
          <w:tcPr>
            <w:tcW w:w="2032" w:type="dxa"/>
          </w:tcPr>
          <w:p w14:paraId="2C1D93E0"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-1.587019478716229</w:t>
            </w:r>
          </w:p>
        </w:tc>
        <w:tc>
          <w:tcPr>
            <w:tcW w:w="895" w:type="dxa"/>
          </w:tcPr>
          <w:p w14:paraId="05BEBFC9"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-0.17</w:t>
            </w:r>
          </w:p>
        </w:tc>
        <w:tc>
          <w:tcPr>
            <w:tcW w:w="792" w:type="dxa"/>
          </w:tcPr>
          <w:p w14:paraId="01D03978"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0.063</w:t>
            </w:r>
          </w:p>
        </w:tc>
        <w:tc>
          <w:tcPr>
            <w:tcW w:w="1212" w:type="dxa"/>
          </w:tcPr>
          <w:p w14:paraId="2C3973F5"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Alleviating</w:t>
            </w:r>
          </w:p>
        </w:tc>
      </w:tr>
      <w:tr w:rsidR="009B6D8F" w:rsidRPr="00766B78" w14:paraId="6BA695A4" w14:textId="77777777" w:rsidTr="000E6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dxa"/>
          </w:tcPr>
          <w:p w14:paraId="438330D5"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Female Young (20-39y) MetS-</w:t>
            </w:r>
          </w:p>
        </w:tc>
        <w:tc>
          <w:tcPr>
            <w:tcW w:w="1149" w:type="dxa"/>
          </w:tcPr>
          <w:p w14:paraId="1AF5233D"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Sugar-Sweetened Beverages</w:t>
            </w:r>
          </w:p>
        </w:tc>
        <w:tc>
          <w:tcPr>
            <w:tcW w:w="1388" w:type="dxa"/>
          </w:tcPr>
          <w:p w14:paraId="4955960E"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Triglycerides (mg/dL)</w:t>
            </w:r>
          </w:p>
        </w:tc>
        <w:tc>
          <w:tcPr>
            <w:tcW w:w="2032" w:type="dxa"/>
          </w:tcPr>
          <w:p w14:paraId="736A6815"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7.716698670080362</w:t>
            </w:r>
          </w:p>
        </w:tc>
        <w:tc>
          <w:tcPr>
            <w:tcW w:w="895" w:type="dxa"/>
          </w:tcPr>
          <w:p w14:paraId="5427D507"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0.25</w:t>
            </w:r>
          </w:p>
        </w:tc>
        <w:tc>
          <w:tcPr>
            <w:tcW w:w="792" w:type="dxa"/>
          </w:tcPr>
          <w:p w14:paraId="172460DC"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0.001</w:t>
            </w:r>
          </w:p>
        </w:tc>
        <w:tc>
          <w:tcPr>
            <w:tcW w:w="1212" w:type="dxa"/>
          </w:tcPr>
          <w:p w14:paraId="69A4A04D"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Risk</w:t>
            </w:r>
          </w:p>
        </w:tc>
      </w:tr>
      <w:tr w:rsidR="009B6D8F" w:rsidRPr="00766B78" w14:paraId="130F1108" w14:textId="77777777" w:rsidTr="000E6FD4">
        <w:tc>
          <w:tcPr>
            <w:cnfStyle w:val="001000000000" w:firstRow="0" w:lastRow="0" w:firstColumn="1" w:lastColumn="0" w:oddVBand="0" w:evenVBand="0" w:oddHBand="0" w:evenHBand="0" w:firstRowFirstColumn="0" w:firstRowLastColumn="0" w:lastRowFirstColumn="0" w:lastRowLastColumn="0"/>
            <w:tcW w:w="1388" w:type="dxa"/>
          </w:tcPr>
          <w:p w14:paraId="70C7B574"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Male Young (20-39y) MetS-</w:t>
            </w:r>
          </w:p>
        </w:tc>
        <w:tc>
          <w:tcPr>
            <w:tcW w:w="1149" w:type="dxa"/>
          </w:tcPr>
          <w:p w14:paraId="38890D2A"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Processed Foods</w:t>
            </w:r>
          </w:p>
        </w:tc>
        <w:tc>
          <w:tcPr>
            <w:tcW w:w="1388" w:type="dxa"/>
          </w:tcPr>
          <w:p w14:paraId="7CCADEFE"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Triglycerides (mg/dL)</w:t>
            </w:r>
          </w:p>
        </w:tc>
        <w:tc>
          <w:tcPr>
            <w:tcW w:w="2032" w:type="dxa"/>
          </w:tcPr>
          <w:p w14:paraId="0DD9B535"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10.43464856949306</w:t>
            </w:r>
          </w:p>
        </w:tc>
        <w:tc>
          <w:tcPr>
            <w:tcW w:w="895" w:type="dxa"/>
          </w:tcPr>
          <w:p w14:paraId="74095A30"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0.21</w:t>
            </w:r>
          </w:p>
        </w:tc>
        <w:tc>
          <w:tcPr>
            <w:tcW w:w="792" w:type="dxa"/>
          </w:tcPr>
          <w:p w14:paraId="25D5DC86"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0.032</w:t>
            </w:r>
          </w:p>
        </w:tc>
        <w:tc>
          <w:tcPr>
            <w:tcW w:w="1212" w:type="dxa"/>
          </w:tcPr>
          <w:p w14:paraId="1879C88A"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Risk</w:t>
            </w:r>
          </w:p>
        </w:tc>
      </w:tr>
      <w:tr w:rsidR="009B6D8F" w:rsidRPr="00766B78" w14:paraId="300AB769" w14:textId="77777777" w:rsidTr="000E6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dxa"/>
          </w:tcPr>
          <w:p w14:paraId="440D0A8A"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Male Middle-aged (40-59y) MetS-</w:t>
            </w:r>
          </w:p>
        </w:tc>
        <w:tc>
          <w:tcPr>
            <w:tcW w:w="1149" w:type="dxa"/>
          </w:tcPr>
          <w:p w14:paraId="435A3789"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Fried Foods</w:t>
            </w:r>
          </w:p>
        </w:tc>
        <w:tc>
          <w:tcPr>
            <w:tcW w:w="1388" w:type="dxa"/>
          </w:tcPr>
          <w:p w14:paraId="77114FB8"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Waist circumference (cm)</w:t>
            </w:r>
          </w:p>
        </w:tc>
        <w:tc>
          <w:tcPr>
            <w:tcW w:w="2032" w:type="dxa"/>
          </w:tcPr>
          <w:p w14:paraId="6E2C3496"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1.122083187530436</w:t>
            </w:r>
          </w:p>
        </w:tc>
        <w:tc>
          <w:tcPr>
            <w:tcW w:w="895" w:type="dxa"/>
          </w:tcPr>
          <w:p w14:paraId="30EA4A2A"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0.18</w:t>
            </w:r>
          </w:p>
        </w:tc>
        <w:tc>
          <w:tcPr>
            <w:tcW w:w="792" w:type="dxa"/>
          </w:tcPr>
          <w:p w14:paraId="272C07D9"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&lt;0.001</w:t>
            </w:r>
          </w:p>
        </w:tc>
        <w:tc>
          <w:tcPr>
            <w:tcW w:w="1212" w:type="dxa"/>
          </w:tcPr>
          <w:p w14:paraId="5F35DA76"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Risk</w:t>
            </w:r>
          </w:p>
        </w:tc>
      </w:tr>
      <w:tr w:rsidR="009B6D8F" w:rsidRPr="00766B78" w14:paraId="5994B95A" w14:textId="77777777" w:rsidTr="000E6FD4">
        <w:tc>
          <w:tcPr>
            <w:cnfStyle w:val="001000000000" w:firstRow="0" w:lastRow="0" w:firstColumn="1" w:lastColumn="0" w:oddVBand="0" w:evenVBand="0" w:oddHBand="0" w:evenHBand="0" w:firstRowFirstColumn="0" w:firstRowLastColumn="0" w:lastRowFirstColumn="0" w:lastRowLastColumn="0"/>
            <w:tcW w:w="1388" w:type="dxa"/>
          </w:tcPr>
          <w:p w14:paraId="262B091E"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Female Middle-aged (40-59y) MetS-</w:t>
            </w:r>
          </w:p>
        </w:tc>
        <w:tc>
          <w:tcPr>
            <w:tcW w:w="1149" w:type="dxa"/>
          </w:tcPr>
          <w:p w14:paraId="5C0992CC"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Fried Foods</w:t>
            </w:r>
          </w:p>
        </w:tc>
        <w:tc>
          <w:tcPr>
            <w:tcW w:w="1388" w:type="dxa"/>
          </w:tcPr>
          <w:p w14:paraId="76518036"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Waist circumference (cm)</w:t>
            </w:r>
          </w:p>
        </w:tc>
        <w:tc>
          <w:tcPr>
            <w:tcW w:w="2032" w:type="dxa"/>
          </w:tcPr>
          <w:p w14:paraId="2FB08B3C"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0.9727269705246471</w:t>
            </w:r>
          </w:p>
        </w:tc>
        <w:tc>
          <w:tcPr>
            <w:tcW w:w="895" w:type="dxa"/>
          </w:tcPr>
          <w:p w14:paraId="22DA3AC4"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0.14</w:t>
            </w:r>
          </w:p>
        </w:tc>
        <w:tc>
          <w:tcPr>
            <w:tcW w:w="792" w:type="dxa"/>
          </w:tcPr>
          <w:p w14:paraId="290D2CFF"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&lt;0.001</w:t>
            </w:r>
          </w:p>
        </w:tc>
        <w:tc>
          <w:tcPr>
            <w:tcW w:w="1212" w:type="dxa"/>
          </w:tcPr>
          <w:p w14:paraId="79840A86"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Risk</w:t>
            </w:r>
          </w:p>
        </w:tc>
      </w:tr>
      <w:tr w:rsidR="009B6D8F" w:rsidRPr="00766B78" w14:paraId="43B281C7" w14:textId="77777777" w:rsidTr="000E6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dxa"/>
          </w:tcPr>
          <w:p w14:paraId="3997A982"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Female Middle-aged (40-59y) MetS-</w:t>
            </w:r>
          </w:p>
        </w:tc>
        <w:tc>
          <w:tcPr>
            <w:tcW w:w="1149" w:type="dxa"/>
          </w:tcPr>
          <w:p w14:paraId="0A4EA4B7"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Fried Foods</w:t>
            </w:r>
          </w:p>
        </w:tc>
        <w:tc>
          <w:tcPr>
            <w:tcW w:w="1388" w:type="dxa"/>
          </w:tcPr>
          <w:p w14:paraId="0611B4B6"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gramStart"/>
            <w:r w:rsidRPr="00766B78">
              <w:rPr>
                <w:rFonts w:ascii="Arial" w:hAnsi="Arial" w:cs="Arial"/>
                <w:sz w:val="24"/>
                <w:szCs w:val="24"/>
              </w:rPr>
              <w:t>BMI(</w:t>
            </w:r>
            <w:proofErr w:type="gramEnd"/>
            <w:r w:rsidRPr="00766B78">
              <w:rPr>
                <w:rFonts w:ascii="Arial" w:hAnsi="Arial" w:cs="Arial"/>
                <w:sz w:val="24"/>
                <w:szCs w:val="24"/>
              </w:rPr>
              <w:t>kg/m2)</w:t>
            </w:r>
          </w:p>
        </w:tc>
        <w:tc>
          <w:tcPr>
            <w:tcW w:w="2032" w:type="dxa"/>
          </w:tcPr>
          <w:p w14:paraId="704E4E61"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0.3361647438735389</w:t>
            </w:r>
          </w:p>
        </w:tc>
        <w:tc>
          <w:tcPr>
            <w:tcW w:w="895" w:type="dxa"/>
          </w:tcPr>
          <w:p w14:paraId="0721DC26"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0.14</w:t>
            </w:r>
          </w:p>
        </w:tc>
        <w:tc>
          <w:tcPr>
            <w:tcW w:w="792" w:type="dxa"/>
          </w:tcPr>
          <w:p w14:paraId="3907497D"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&lt;0.001</w:t>
            </w:r>
          </w:p>
        </w:tc>
        <w:tc>
          <w:tcPr>
            <w:tcW w:w="1212" w:type="dxa"/>
          </w:tcPr>
          <w:p w14:paraId="679B1647"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Risk</w:t>
            </w:r>
          </w:p>
        </w:tc>
      </w:tr>
      <w:tr w:rsidR="009B6D8F" w:rsidRPr="00766B78" w14:paraId="00B1B09B" w14:textId="77777777" w:rsidTr="000E6FD4">
        <w:tc>
          <w:tcPr>
            <w:cnfStyle w:val="001000000000" w:firstRow="0" w:lastRow="0" w:firstColumn="1" w:lastColumn="0" w:oddVBand="0" w:evenVBand="0" w:oddHBand="0" w:evenHBand="0" w:firstRowFirstColumn="0" w:firstRowLastColumn="0" w:lastRowFirstColumn="0" w:lastRowLastColumn="0"/>
            <w:tcW w:w="1388" w:type="dxa"/>
          </w:tcPr>
          <w:p w14:paraId="32297CEB"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Male Young (20-39y) MetS-</w:t>
            </w:r>
          </w:p>
        </w:tc>
        <w:tc>
          <w:tcPr>
            <w:tcW w:w="1149" w:type="dxa"/>
          </w:tcPr>
          <w:p w14:paraId="7CAA241A"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Protein Foods</w:t>
            </w:r>
          </w:p>
        </w:tc>
        <w:tc>
          <w:tcPr>
            <w:tcW w:w="1388" w:type="dxa"/>
          </w:tcPr>
          <w:p w14:paraId="2637E665"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gramStart"/>
            <w:r w:rsidRPr="00766B78">
              <w:rPr>
                <w:rFonts w:ascii="Arial" w:hAnsi="Arial" w:cs="Arial"/>
                <w:sz w:val="24"/>
                <w:szCs w:val="24"/>
              </w:rPr>
              <w:t>BMI(</w:t>
            </w:r>
            <w:proofErr w:type="gramEnd"/>
            <w:r w:rsidRPr="00766B78">
              <w:rPr>
                <w:rFonts w:ascii="Arial" w:hAnsi="Arial" w:cs="Arial"/>
                <w:sz w:val="24"/>
                <w:szCs w:val="24"/>
              </w:rPr>
              <w:t>kg/m2)</w:t>
            </w:r>
          </w:p>
        </w:tc>
        <w:tc>
          <w:tcPr>
            <w:tcW w:w="2032" w:type="dxa"/>
          </w:tcPr>
          <w:p w14:paraId="498E6837"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0.3520501371266107</w:t>
            </w:r>
          </w:p>
        </w:tc>
        <w:tc>
          <w:tcPr>
            <w:tcW w:w="895" w:type="dxa"/>
          </w:tcPr>
          <w:p w14:paraId="7740D04E"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0.12</w:t>
            </w:r>
          </w:p>
        </w:tc>
        <w:tc>
          <w:tcPr>
            <w:tcW w:w="792" w:type="dxa"/>
          </w:tcPr>
          <w:p w14:paraId="0C8447BC"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0.033</w:t>
            </w:r>
          </w:p>
        </w:tc>
        <w:tc>
          <w:tcPr>
            <w:tcW w:w="1212" w:type="dxa"/>
          </w:tcPr>
          <w:p w14:paraId="49C0B377"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Risk</w:t>
            </w:r>
          </w:p>
        </w:tc>
      </w:tr>
      <w:tr w:rsidR="009B6D8F" w:rsidRPr="00766B78" w14:paraId="1C4FEB31" w14:textId="77777777" w:rsidTr="000E6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dxa"/>
          </w:tcPr>
          <w:p w14:paraId="3BD0CBA7"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Male Middle-aged (40-59y) MetS-</w:t>
            </w:r>
          </w:p>
        </w:tc>
        <w:tc>
          <w:tcPr>
            <w:tcW w:w="1149" w:type="dxa"/>
          </w:tcPr>
          <w:p w14:paraId="542198FD"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Fried Foods</w:t>
            </w:r>
          </w:p>
        </w:tc>
        <w:tc>
          <w:tcPr>
            <w:tcW w:w="1388" w:type="dxa"/>
          </w:tcPr>
          <w:p w14:paraId="27F7069E"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gramStart"/>
            <w:r w:rsidRPr="00766B78">
              <w:rPr>
                <w:rFonts w:ascii="Arial" w:hAnsi="Arial" w:cs="Arial"/>
                <w:sz w:val="24"/>
                <w:szCs w:val="24"/>
              </w:rPr>
              <w:t>BMI(</w:t>
            </w:r>
            <w:proofErr w:type="gramEnd"/>
            <w:r w:rsidRPr="00766B78">
              <w:rPr>
                <w:rFonts w:ascii="Arial" w:hAnsi="Arial" w:cs="Arial"/>
                <w:sz w:val="24"/>
                <w:szCs w:val="24"/>
              </w:rPr>
              <w:t>kg/m2)</w:t>
            </w:r>
          </w:p>
        </w:tc>
        <w:tc>
          <w:tcPr>
            <w:tcW w:w="2032" w:type="dxa"/>
          </w:tcPr>
          <w:p w14:paraId="4AC593AB"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0.2682729455552781</w:t>
            </w:r>
          </w:p>
        </w:tc>
        <w:tc>
          <w:tcPr>
            <w:tcW w:w="895" w:type="dxa"/>
          </w:tcPr>
          <w:p w14:paraId="18BEF0C6"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0.11</w:t>
            </w:r>
          </w:p>
        </w:tc>
        <w:tc>
          <w:tcPr>
            <w:tcW w:w="792" w:type="dxa"/>
          </w:tcPr>
          <w:p w14:paraId="702793C0"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0.040</w:t>
            </w:r>
          </w:p>
        </w:tc>
        <w:tc>
          <w:tcPr>
            <w:tcW w:w="1212" w:type="dxa"/>
          </w:tcPr>
          <w:p w14:paraId="395C12F4"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Risk</w:t>
            </w:r>
          </w:p>
        </w:tc>
      </w:tr>
      <w:tr w:rsidR="009B6D8F" w:rsidRPr="00766B78" w14:paraId="495EFED9" w14:textId="77777777" w:rsidTr="000E6FD4">
        <w:tc>
          <w:tcPr>
            <w:cnfStyle w:val="001000000000" w:firstRow="0" w:lastRow="0" w:firstColumn="1" w:lastColumn="0" w:oddVBand="0" w:evenVBand="0" w:oddHBand="0" w:evenHBand="0" w:firstRowFirstColumn="0" w:firstRowLastColumn="0" w:lastRowFirstColumn="0" w:lastRowLastColumn="0"/>
            <w:tcW w:w="1388" w:type="dxa"/>
          </w:tcPr>
          <w:p w14:paraId="40FE7464"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Male Middle-aged (40-59y) MetS-</w:t>
            </w:r>
          </w:p>
        </w:tc>
        <w:tc>
          <w:tcPr>
            <w:tcW w:w="1149" w:type="dxa"/>
          </w:tcPr>
          <w:p w14:paraId="7CC40601"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Vegetables</w:t>
            </w:r>
          </w:p>
        </w:tc>
        <w:tc>
          <w:tcPr>
            <w:tcW w:w="1388" w:type="dxa"/>
          </w:tcPr>
          <w:p w14:paraId="072740DD"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Waist circumference (cm)</w:t>
            </w:r>
          </w:p>
        </w:tc>
        <w:tc>
          <w:tcPr>
            <w:tcW w:w="2032" w:type="dxa"/>
          </w:tcPr>
          <w:p w14:paraId="07F0125D"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-0.6979551179929189</w:t>
            </w:r>
          </w:p>
        </w:tc>
        <w:tc>
          <w:tcPr>
            <w:tcW w:w="895" w:type="dxa"/>
          </w:tcPr>
          <w:p w14:paraId="1FFD367B"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-0.11</w:t>
            </w:r>
          </w:p>
        </w:tc>
        <w:tc>
          <w:tcPr>
            <w:tcW w:w="792" w:type="dxa"/>
          </w:tcPr>
          <w:p w14:paraId="501FC51B"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0.057</w:t>
            </w:r>
          </w:p>
        </w:tc>
        <w:tc>
          <w:tcPr>
            <w:tcW w:w="1212" w:type="dxa"/>
          </w:tcPr>
          <w:p w14:paraId="6DD96E07" w14:textId="77777777" w:rsidR="009B6D8F" w:rsidRPr="00766B78" w:rsidRDefault="00000000" w:rsidP="000E6FD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6B78">
              <w:rPr>
                <w:rFonts w:ascii="Arial" w:hAnsi="Arial" w:cs="Arial"/>
                <w:sz w:val="24"/>
                <w:szCs w:val="24"/>
              </w:rPr>
              <w:t>Protective</w:t>
            </w:r>
          </w:p>
        </w:tc>
      </w:tr>
      <w:tr w:rsidR="009B6D8F" w:rsidRPr="00766B78" w14:paraId="34A1CD8E" w14:textId="77777777" w:rsidTr="000E6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dxa"/>
          </w:tcPr>
          <w:p w14:paraId="5C63B1DB"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Male Middle-aged (40-59y) MetS-</w:t>
            </w:r>
          </w:p>
        </w:tc>
        <w:tc>
          <w:tcPr>
            <w:tcW w:w="1149" w:type="dxa"/>
          </w:tcPr>
          <w:p w14:paraId="77AB1564"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Vegetables</w:t>
            </w:r>
          </w:p>
        </w:tc>
        <w:tc>
          <w:tcPr>
            <w:tcW w:w="1388" w:type="dxa"/>
          </w:tcPr>
          <w:p w14:paraId="7960A0AD"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Triglycerides (mg/dL)</w:t>
            </w:r>
          </w:p>
        </w:tc>
        <w:tc>
          <w:tcPr>
            <w:tcW w:w="2032" w:type="dxa"/>
          </w:tcPr>
          <w:p w14:paraId="0B00F6BA"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-9.344929781128428</w:t>
            </w:r>
          </w:p>
        </w:tc>
        <w:tc>
          <w:tcPr>
            <w:tcW w:w="895" w:type="dxa"/>
          </w:tcPr>
          <w:p w14:paraId="3F05E402"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-0.16</w:t>
            </w:r>
          </w:p>
        </w:tc>
        <w:tc>
          <w:tcPr>
            <w:tcW w:w="792" w:type="dxa"/>
          </w:tcPr>
          <w:p w14:paraId="60090188"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0.032</w:t>
            </w:r>
          </w:p>
        </w:tc>
        <w:tc>
          <w:tcPr>
            <w:tcW w:w="1212" w:type="dxa"/>
          </w:tcPr>
          <w:p w14:paraId="548CB252" w14:textId="77777777" w:rsidR="009B6D8F" w:rsidRPr="00766B78" w:rsidRDefault="00000000" w:rsidP="000E6FD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6B78">
              <w:rPr>
                <w:rFonts w:ascii="Arial" w:hAnsi="Arial" w:cs="Arial"/>
                <w:sz w:val="24"/>
                <w:szCs w:val="24"/>
              </w:rPr>
              <w:t>Protective</w:t>
            </w:r>
          </w:p>
        </w:tc>
      </w:tr>
    </w:tbl>
    <w:p w14:paraId="370967AF" w14:textId="6244AA45" w:rsidR="009B6D8F" w:rsidRPr="00766B78" w:rsidRDefault="000E6FD4" w:rsidP="000E6FD4">
      <w:pPr>
        <w:jc w:val="both"/>
        <w:rPr>
          <w:rFonts w:ascii="Arial" w:hAnsi="Arial" w:cs="Arial"/>
          <w:sz w:val="24"/>
          <w:szCs w:val="24"/>
        </w:rPr>
      </w:pPr>
      <w:r w:rsidRPr="00766B78">
        <w:rPr>
          <w:rFonts w:ascii="Arial" w:hAnsi="Arial" w:cs="Arial"/>
          <w:sz w:val="24"/>
          <w:szCs w:val="24"/>
        </w:rPr>
        <w:t xml:space="preserve">Note: Mean differences represent change in metabolic indicator comparing high vs. low hub consumption tertiles. Cohen's d: small (0.2), moderate (0.5), large (≥0.8). Adjusted for age, sex, education, income, smoking, alcohol, physical activity, total energy intake. Effect amplification: </w:t>
      </w:r>
      <w:proofErr w:type="spellStart"/>
      <w:r w:rsidRPr="00766B78">
        <w:rPr>
          <w:rFonts w:ascii="Arial" w:hAnsi="Arial" w:cs="Arial"/>
          <w:sz w:val="24"/>
          <w:szCs w:val="24"/>
        </w:rPr>
        <w:t>MetS</w:t>
      </w:r>
      <w:proofErr w:type="spellEnd"/>
      <w:r w:rsidRPr="00766B78">
        <w:rPr>
          <w:rFonts w:ascii="Arial" w:hAnsi="Arial" w:cs="Arial"/>
          <w:sz w:val="24"/>
          <w:szCs w:val="24"/>
        </w:rPr>
        <w:t xml:space="preserve">+ effects ~1.5-2.0× stronger than </w:t>
      </w:r>
      <w:proofErr w:type="spellStart"/>
      <w:r w:rsidRPr="00766B78">
        <w:rPr>
          <w:rFonts w:ascii="Arial" w:hAnsi="Arial" w:cs="Arial"/>
          <w:sz w:val="24"/>
          <w:szCs w:val="24"/>
        </w:rPr>
        <w:t>MetS</w:t>
      </w:r>
      <w:proofErr w:type="spellEnd"/>
      <w:r w:rsidRPr="00766B78">
        <w:rPr>
          <w:rFonts w:ascii="Arial" w:hAnsi="Arial" w:cs="Arial"/>
          <w:sz w:val="24"/>
          <w:szCs w:val="24"/>
        </w:rPr>
        <w:t>-.</w:t>
      </w:r>
    </w:p>
    <w:p w14:paraId="7EDB85C1"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lastRenderedPageBreak/>
        <w:br w:type="page"/>
      </w:r>
    </w:p>
    <w:p w14:paraId="46A72D81"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lastRenderedPageBreak/>
        <w:t>DISCUSSION</w:t>
      </w:r>
    </w:p>
    <w:p w14:paraId="16899963"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REFERENCES</w:t>
      </w:r>
    </w:p>
    <w:p w14:paraId="37CE378B"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Saklayen MG. The Global Epidemic of the Metabolic Syndrome. Curr Hypertens Rep. 2018;20(2):12.</w:t>
      </w:r>
    </w:p>
    <w:p w14:paraId="7D359B65"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Hirode G, Wong RJ. Trends in the Prevalence of Metabolic Syndrome in the United States, 2011-2016. JAMA. 2020;323(24):2526-2528.</w:t>
      </w:r>
    </w:p>
    <w:p w14:paraId="0C9771F9" w14:textId="77777777" w:rsidR="009B6D8F" w:rsidRPr="00766B78" w:rsidRDefault="00000000" w:rsidP="000E6FD4">
      <w:pPr>
        <w:jc w:val="both"/>
        <w:rPr>
          <w:rFonts w:ascii="Arial" w:hAnsi="Arial" w:cs="Arial"/>
          <w:sz w:val="24"/>
          <w:szCs w:val="24"/>
        </w:rPr>
      </w:pPr>
      <w:r w:rsidRPr="00766B78">
        <w:rPr>
          <w:rFonts w:ascii="Arial" w:hAnsi="Arial" w:cs="Arial"/>
          <w:i/>
          <w:sz w:val="24"/>
          <w:szCs w:val="24"/>
        </w:rPr>
        <w:t>[References 3-39 continue... Complete bibliography to be added]</w:t>
      </w:r>
    </w:p>
    <w:p w14:paraId="28FC0FBC" w14:textId="77777777" w:rsidR="009B6D8F" w:rsidRPr="00766B78" w:rsidRDefault="009B6D8F" w:rsidP="000E6FD4">
      <w:pPr>
        <w:jc w:val="both"/>
        <w:rPr>
          <w:rFonts w:ascii="Arial" w:hAnsi="Arial" w:cs="Arial"/>
          <w:sz w:val="24"/>
          <w:szCs w:val="24"/>
        </w:rPr>
      </w:pPr>
    </w:p>
    <w:p w14:paraId="68F47490"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FIGURE LEGENDS</w:t>
      </w:r>
    </w:p>
    <w:p w14:paraId="0528AD48" w14:textId="77777777" w:rsidR="009B6D8F" w:rsidRPr="00766B78" w:rsidRDefault="00000000" w:rsidP="000E6FD4">
      <w:pPr>
        <w:jc w:val="both"/>
        <w:rPr>
          <w:rFonts w:ascii="Arial" w:hAnsi="Arial" w:cs="Arial"/>
          <w:sz w:val="24"/>
          <w:szCs w:val="24"/>
        </w:rPr>
      </w:pPr>
      <w:r w:rsidRPr="00766B78">
        <w:rPr>
          <w:rFonts w:ascii="Arial" w:hAnsi="Arial" w:cs="Arial"/>
          <w:b/>
          <w:sz w:val="24"/>
          <w:szCs w:val="24"/>
        </w:rPr>
        <w:t xml:space="preserve">Figure 1. </w:t>
      </w:r>
      <w:r w:rsidRPr="00766B78">
        <w:rPr>
          <w:rFonts w:ascii="Arial" w:hAnsi="Arial" w:cs="Arial"/>
          <w:sz w:val="24"/>
          <w:szCs w:val="24"/>
        </w:rPr>
        <w:t>Dietary network visualizations across sex-age-MetS strata. Gaussian graphical models show conditional dependency structure for 12 food groups across 11 demographic-metabolic subgroups. Node size represents degree centrality. Edge thickness represents partial correlation strength |ρ|. Colors indicate food categories: red (unhealthy/processed), orange (mixed/moderate), green (healthy/traditional). N=nodes, E=edges, D=density.</w:t>
      </w:r>
    </w:p>
    <w:p w14:paraId="048C4507" w14:textId="77777777" w:rsidR="009B6D8F" w:rsidRPr="00766B78" w:rsidRDefault="00000000" w:rsidP="000E6FD4">
      <w:pPr>
        <w:jc w:val="both"/>
        <w:rPr>
          <w:rFonts w:ascii="Arial" w:hAnsi="Arial" w:cs="Arial"/>
          <w:sz w:val="24"/>
          <w:szCs w:val="24"/>
        </w:rPr>
      </w:pPr>
      <w:r w:rsidRPr="00766B78">
        <w:rPr>
          <w:rFonts w:ascii="Arial" w:hAnsi="Arial" w:cs="Arial"/>
          <w:b/>
          <w:sz w:val="24"/>
          <w:szCs w:val="24"/>
        </w:rPr>
        <w:t xml:space="preserve">Figure 2. </w:t>
      </w:r>
      <w:r w:rsidRPr="00766B78">
        <w:rPr>
          <w:rFonts w:ascii="Arial" w:hAnsi="Arial" w:cs="Arial"/>
          <w:sz w:val="24"/>
          <w:szCs w:val="24"/>
        </w:rPr>
        <w:t>Hub food centrality heatmap across demographic-metabolic strata. Degree centrality values for top hub foods in each of 11 subgroups. Color intensity represents centrality magnitude (darker = higher centrality/more connections). Fried foods appear as universal hubs (100% of groups), followed by processed foods (91%) and sugar-sweetened beverages (82%).</w:t>
      </w:r>
    </w:p>
    <w:p w14:paraId="1440D4EB" w14:textId="77777777" w:rsidR="009B6D8F" w:rsidRPr="00766B78" w:rsidRDefault="00000000" w:rsidP="000E6FD4">
      <w:pPr>
        <w:jc w:val="both"/>
        <w:rPr>
          <w:rFonts w:ascii="Arial" w:hAnsi="Arial" w:cs="Arial"/>
          <w:sz w:val="24"/>
          <w:szCs w:val="24"/>
        </w:rPr>
      </w:pPr>
      <w:r w:rsidRPr="00766B78">
        <w:rPr>
          <w:rFonts w:ascii="Arial" w:hAnsi="Arial" w:cs="Arial"/>
          <w:b/>
          <w:sz w:val="24"/>
          <w:szCs w:val="24"/>
        </w:rPr>
        <w:t xml:space="preserve">Figure 3. </w:t>
      </w:r>
      <w:r w:rsidRPr="00766B78">
        <w:rPr>
          <w:rFonts w:ascii="Arial" w:hAnsi="Arial" w:cs="Arial"/>
          <w:sz w:val="24"/>
          <w:szCs w:val="24"/>
        </w:rPr>
        <w:t>Dual leverage mechanism schematic. Flowchart illustrating the two-pathway model: (1) Network Leverage: Hub modulation → cascading changes in 4-5 connected foods (mean β=0.19); (2) Health Leverage: Hub modulation → direct metabolic effects (1.5-2.0× amplification in MetS+). Both pathways converge producing synergistic benefits. Efficiency advantage: 3-5 hub targets vs. 12 total food groups (75% complexity reduction).</w:t>
      </w:r>
    </w:p>
    <w:p w14:paraId="1634F7C4" w14:textId="77777777" w:rsidR="009B6D8F" w:rsidRPr="00766B78" w:rsidRDefault="00000000" w:rsidP="000E6FD4">
      <w:pPr>
        <w:jc w:val="both"/>
        <w:rPr>
          <w:rFonts w:ascii="Arial" w:hAnsi="Arial" w:cs="Arial"/>
          <w:sz w:val="24"/>
          <w:szCs w:val="24"/>
        </w:rPr>
      </w:pPr>
      <w:r w:rsidRPr="00766B78">
        <w:rPr>
          <w:rFonts w:ascii="Arial" w:hAnsi="Arial" w:cs="Arial"/>
          <w:b/>
          <w:sz w:val="24"/>
          <w:szCs w:val="24"/>
        </w:rPr>
        <w:t xml:space="preserve">Supplementary Figure S1. </w:t>
      </w:r>
      <w:r w:rsidRPr="00766B78">
        <w:rPr>
          <w:rFonts w:ascii="Arial" w:hAnsi="Arial" w:cs="Arial"/>
          <w:sz w:val="24"/>
          <w:szCs w:val="24"/>
        </w:rPr>
        <w:t>Young adult network comparisons by sex and MetS status. Side-by-side visualizations illustrating structural differences. Left panels: MetS- networks with higher modularity and protein food hubs. Right panels: MetS+ networks with increased density and unhealthy food hubs.</w:t>
      </w:r>
    </w:p>
    <w:p w14:paraId="0911DD1E" w14:textId="77777777" w:rsidR="009B6D8F" w:rsidRPr="00766B78" w:rsidRDefault="00000000" w:rsidP="000E6FD4">
      <w:pPr>
        <w:jc w:val="both"/>
        <w:rPr>
          <w:rFonts w:ascii="Arial" w:hAnsi="Arial" w:cs="Arial"/>
          <w:sz w:val="24"/>
          <w:szCs w:val="24"/>
        </w:rPr>
      </w:pPr>
      <w:r w:rsidRPr="00766B78">
        <w:rPr>
          <w:rFonts w:ascii="Arial" w:hAnsi="Arial" w:cs="Arial"/>
          <w:b/>
          <w:sz w:val="24"/>
          <w:szCs w:val="24"/>
        </w:rPr>
        <w:t xml:space="preserve">Supplementary Figure S2. </w:t>
      </w:r>
      <w:r w:rsidRPr="00766B78">
        <w:rPr>
          <w:rFonts w:ascii="Arial" w:hAnsi="Arial" w:cs="Arial"/>
          <w:sz w:val="24"/>
          <w:szCs w:val="24"/>
        </w:rPr>
        <w:t xml:space="preserve">Community structure visualization across all 11 subgroups. Louvain algorithm-detected communities shown with distinct colors. Three primary patterns emerge: (1) Traditional Korean pattern (grains, vegetables, protein, dairy, fruits); (2) Western/processed pattern (processed </w:t>
      </w:r>
      <w:r w:rsidRPr="00766B78">
        <w:rPr>
          <w:rFonts w:ascii="Arial" w:hAnsi="Arial" w:cs="Arial"/>
          <w:sz w:val="24"/>
          <w:szCs w:val="24"/>
        </w:rPr>
        <w:lastRenderedPageBreak/>
        <w:t>foods, fried foods, high-fat meat, SSB, sweets); (3) High-sodium pattern (salty foods, added salt). Q values indicate modularity strength.</w:t>
      </w:r>
    </w:p>
    <w:p w14:paraId="0D5C833F" w14:textId="77777777" w:rsidR="009B6D8F" w:rsidRPr="00766B78" w:rsidRDefault="009B6D8F" w:rsidP="000E6FD4">
      <w:pPr>
        <w:jc w:val="both"/>
        <w:rPr>
          <w:rFonts w:ascii="Arial" w:hAnsi="Arial" w:cs="Arial"/>
          <w:sz w:val="24"/>
          <w:szCs w:val="24"/>
        </w:rPr>
      </w:pPr>
    </w:p>
    <w:p w14:paraId="3123B5F8" w14:textId="77777777" w:rsidR="009B6D8F" w:rsidRPr="00766B78" w:rsidRDefault="00000000" w:rsidP="000E6FD4">
      <w:pPr>
        <w:jc w:val="both"/>
        <w:rPr>
          <w:rFonts w:ascii="Arial" w:hAnsi="Arial" w:cs="Arial"/>
          <w:sz w:val="24"/>
          <w:szCs w:val="24"/>
        </w:rPr>
      </w:pPr>
      <w:r w:rsidRPr="00766B78">
        <w:rPr>
          <w:rFonts w:ascii="Arial" w:hAnsi="Arial" w:cs="Arial"/>
          <w:sz w:val="24"/>
          <w:szCs w:val="24"/>
        </w:rPr>
        <w:t>TABLE LEGENDS</w:t>
      </w:r>
    </w:p>
    <w:p w14:paraId="4208B9C5" w14:textId="77777777" w:rsidR="009B6D8F" w:rsidRPr="00766B78" w:rsidRDefault="00000000" w:rsidP="000E6FD4">
      <w:pPr>
        <w:jc w:val="both"/>
        <w:rPr>
          <w:rFonts w:ascii="Arial" w:hAnsi="Arial" w:cs="Arial"/>
          <w:sz w:val="24"/>
          <w:szCs w:val="24"/>
        </w:rPr>
      </w:pPr>
      <w:r w:rsidRPr="00766B78">
        <w:rPr>
          <w:rFonts w:ascii="Arial" w:hAnsi="Arial" w:cs="Arial"/>
          <w:b/>
          <w:sz w:val="24"/>
          <w:szCs w:val="24"/>
        </w:rPr>
        <w:t xml:space="preserve">Table 1. </w:t>
      </w:r>
      <w:r w:rsidRPr="00766B78">
        <w:rPr>
          <w:rFonts w:ascii="Arial" w:hAnsi="Arial" w:cs="Arial"/>
          <w:sz w:val="24"/>
          <w:szCs w:val="24"/>
        </w:rPr>
        <w:t>Network leverage: Hub food cascading effects on connected foods. Mediation analysis results showing β coefficients (standardized effect sizes) for hub→connected food associations across 11 subgroups. Total pathways tested: 352; significant pathways: 241 (68%). Mean β=0.19 (SD=0.24), range -0.45 to +1.04. Each hub influences average 4-5 connected foods. Adjusted for age, sex, education, income, smoking, alcohol, physical activity, total energy.</w:t>
      </w:r>
    </w:p>
    <w:p w14:paraId="63CB89C4" w14:textId="77777777" w:rsidR="009B6D8F" w:rsidRPr="00766B78" w:rsidRDefault="00000000" w:rsidP="000E6FD4">
      <w:pPr>
        <w:jc w:val="both"/>
        <w:rPr>
          <w:rFonts w:ascii="Arial" w:hAnsi="Arial" w:cs="Arial"/>
          <w:sz w:val="24"/>
          <w:szCs w:val="24"/>
        </w:rPr>
      </w:pPr>
      <w:r w:rsidRPr="00766B78">
        <w:rPr>
          <w:rFonts w:ascii="Arial" w:hAnsi="Arial" w:cs="Arial"/>
          <w:b/>
          <w:sz w:val="24"/>
          <w:szCs w:val="24"/>
        </w:rPr>
        <w:t xml:space="preserve">Table 2. </w:t>
      </w:r>
      <w:r w:rsidRPr="00766B78">
        <w:rPr>
          <w:rFonts w:ascii="Arial" w:hAnsi="Arial" w:cs="Arial"/>
          <w:sz w:val="24"/>
          <w:szCs w:val="24"/>
        </w:rPr>
        <w:t>Health leverage: Direct associations between hub foods and metabolic indicators. Linear regression results comparing metabolic outcomes across hub consumption tertiles (low/medium/high). Reports β coefficients, 95% CI, P-values, and Cohen's d effect sizes for significant associations. Total tested: 224 hub-health pairs; significant: 21 (9.4%). MetS- groups: 9 significant (7 risk, 2 protective). MetS+ groups: 12 significant (10 aggravating, 2 alleviating). Effect size amplification in MetS+: ~1.5-2.0-fold vs. MetS-.</w:t>
      </w:r>
    </w:p>
    <w:p w14:paraId="1270FDD2" w14:textId="77777777" w:rsidR="009B6D8F" w:rsidRPr="00766B78" w:rsidRDefault="00000000" w:rsidP="000E6FD4">
      <w:pPr>
        <w:jc w:val="both"/>
        <w:rPr>
          <w:rFonts w:ascii="Arial" w:hAnsi="Arial" w:cs="Arial"/>
          <w:sz w:val="24"/>
          <w:szCs w:val="24"/>
        </w:rPr>
      </w:pPr>
      <w:r w:rsidRPr="00766B78">
        <w:rPr>
          <w:rFonts w:ascii="Arial" w:hAnsi="Arial" w:cs="Arial"/>
          <w:b/>
          <w:sz w:val="24"/>
          <w:szCs w:val="24"/>
        </w:rPr>
        <w:t xml:space="preserve">Table S1. </w:t>
      </w:r>
      <w:r w:rsidRPr="00766B78">
        <w:rPr>
          <w:rFonts w:ascii="Arial" w:hAnsi="Arial" w:cs="Arial"/>
          <w:sz w:val="24"/>
          <w:szCs w:val="24"/>
        </w:rPr>
        <w:t>Sample sizes by demographic-metabolic subgroup.</w:t>
      </w:r>
    </w:p>
    <w:p w14:paraId="13C61E0F" w14:textId="77777777" w:rsidR="009B6D8F" w:rsidRPr="00766B78" w:rsidRDefault="00000000" w:rsidP="000E6FD4">
      <w:pPr>
        <w:jc w:val="both"/>
        <w:rPr>
          <w:rFonts w:ascii="Arial" w:hAnsi="Arial" w:cs="Arial"/>
          <w:sz w:val="24"/>
          <w:szCs w:val="24"/>
        </w:rPr>
      </w:pPr>
      <w:r w:rsidRPr="00766B78">
        <w:rPr>
          <w:rFonts w:ascii="Arial" w:hAnsi="Arial" w:cs="Arial"/>
          <w:b/>
          <w:sz w:val="24"/>
          <w:szCs w:val="24"/>
        </w:rPr>
        <w:t xml:space="preserve">Table S2. </w:t>
      </w:r>
      <w:r w:rsidRPr="00766B78">
        <w:rPr>
          <w:rFonts w:ascii="Arial" w:hAnsi="Arial" w:cs="Arial"/>
          <w:sz w:val="24"/>
          <w:szCs w:val="24"/>
        </w:rPr>
        <w:t>Baseline characteristics by sex-age-MetS subgroups. Comprehensive demographic, anthropometric, clinical, lifestyle, and dietary variables for all 11 subgroups (N=23,040). Values presented as weighted means±SD or weighted percentages.</w:t>
      </w:r>
    </w:p>
    <w:p w14:paraId="327BE4D7" w14:textId="77777777" w:rsidR="009B6D8F" w:rsidRPr="00766B78" w:rsidRDefault="00000000" w:rsidP="000E6FD4">
      <w:pPr>
        <w:jc w:val="both"/>
        <w:rPr>
          <w:rFonts w:ascii="Arial" w:hAnsi="Arial" w:cs="Arial"/>
          <w:sz w:val="24"/>
          <w:szCs w:val="24"/>
        </w:rPr>
      </w:pPr>
      <w:r w:rsidRPr="00766B78">
        <w:rPr>
          <w:rFonts w:ascii="Arial" w:hAnsi="Arial" w:cs="Arial"/>
          <w:b/>
          <w:sz w:val="24"/>
          <w:szCs w:val="24"/>
        </w:rPr>
        <w:t xml:space="preserve">Table S3. </w:t>
      </w:r>
      <w:r w:rsidRPr="00766B78">
        <w:rPr>
          <w:rFonts w:ascii="Arial" w:hAnsi="Arial" w:cs="Arial"/>
          <w:sz w:val="24"/>
          <w:szCs w:val="24"/>
        </w:rPr>
        <w:t>Network topology metrics by subgroup. Detailed network characteristics: nodes (N=12), edges, edge density, mean degree centrality, diameter, average path length, clustering coefficient, modularity (Q), number of communities. Hub foods ranked by degree centrality with exact values.</w:t>
      </w:r>
    </w:p>
    <w:p w14:paraId="5606D935" w14:textId="77777777" w:rsidR="009B6D8F" w:rsidRPr="00766B78" w:rsidRDefault="00000000" w:rsidP="000E6FD4">
      <w:pPr>
        <w:jc w:val="both"/>
        <w:rPr>
          <w:rFonts w:ascii="Arial" w:hAnsi="Arial" w:cs="Arial"/>
          <w:sz w:val="24"/>
          <w:szCs w:val="24"/>
        </w:rPr>
      </w:pPr>
      <w:r w:rsidRPr="00766B78">
        <w:rPr>
          <w:rFonts w:ascii="Arial" w:hAnsi="Arial" w:cs="Arial"/>
          <w:b/>
          <w:sz w:val="24"/>
          <w:szCs w:val="24"/>
        </w:rPr>
        <w:t xml:space="preserve">Table S4. </w:t>
      </w:r>
      <w:r w:rsidRPr="00766B78">
        <w:rPr>
          <w:rFonts w:ascii="Arial" w:hAnsi="Arial" w:cs="Arial"/>
          <w:sz w:val="24"/>
          <w:szCs w:val="24"/>
        </w:rPr>
        <w:t>Partial correlation matrices for all 11 subgroups. Complete 12×12 matrices showing partial correlations (ρ) between all food group pairs. Only correlations with |ρ|≥0.10 retained as network edges. Range: ρ=-0.42 to ρ=+0.78 across subgroups.</w:t>
      </w:r>
    </w:p>
    <w:p w14:paraId="4046829F" w14:textId="388E18DE" w:rsidR="009B6D8F" w:rsidRPr="00766B78" w:rsidRDefault="00000000" w:rsidP="000E6FD4">
      <w:pPr>
        <w:jc w:val="both"/>
        <w:rPr>
          <w:rFonts w:ascii="Arial" w:hAnsi="Arial" w:cs="Arial"/>
          <w:sz w:val="24"/>
          <w:szCs w:val="24"/>
        </w:rPr>
      </w:pPr>
      <w:r w:rsidRPr="00766B78">
        <w:rPr>
          <w:rFonts w:ascii="Arial" w:hAnsi="Arial" w:cs="Arial"/>
          <w:b/>
          <w:sz w:val="24"/>
          <w:szCs w:val="24"/>
        </w:rPr>
        <w:t xml:space="preserve">Table S5. </w:t>
      </w:r>
      <w:r w:rsidRPr="00766B78">
        <w:rPr>
          <w:rFonts w:ascii="Arial" w:hAnsi="Arial" w:cs="Arial"/>
          <w:sz w:val="24"/>
          <w:szCs w:val="24"/>
        </w:rPr>
        <w:t>Community composition and modularity details. Lists food groups belonging to each detected community (3-5 per network) with modularity Q values. Shows Traditional Korean, Western/Processed, and High-Sodium pattern compositions. Includes within-community vs. between-community connectivity percentages (mean: 88% vs. 12%).</w:t>
      </w:r>
    </w:p>
    <w:sectPr w:rsidR="009B6D8F" w:rsidRPr="00766B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80986637">
    <w:abstractNumId w:val="8"/>
  </w:num>
  <w:num w:numId="2" w16cid:durableId="1481799819">
    <w:abstractNumId w:val="6"/>
  </w:num>
  <w:num w:numId="3" w16cid:durableId="754743079">
    <w:abstractNumId w:val="5"/>
  </w:num>
  <w:num w:numId="4" w16cid:durableId="649015465">
    <w:abstractNumId w:val="4"/>
  </w:num>
  <w:num w:numId="5" w16cid:durableId="392311071">
    <w:abstractNumId w:val="7"/>
  </w:num>
  <w:num w:numId="6" w16cid:durableId="1049381595">
    <w:abstractNumId w:val="3"/>
  </w:num>
  <w:num w:numId="7" w16cid:durableId="2143958986">
    <w:abstractNumId w:val="2"/>
  </w:num>
  <w:num w:numId="8" w16cid:durableId="1385368041">
    <w:abstractNumId w:val="1"/>
  </w:num>
  <w:num w:numId="9" w16cid:durableId="1762556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FD4"/>
    <w:rsid w:val="0015074B"/>
    <w:rsid w:val="0029639D"/>
    <w:rsid w:val="00326F90"/>
    <w:rsid w:val="00575870"/>
    <w:rsid w:val="00766B78"/>
    <w:rsid w:val="009B6D8F"/>
    <w:rsid w:val="00AA1D8D"/>
    <w:rsid w:val="00B04C24"/>
    <w:rsid w:val="00B47730"/>
    <w:rsid w:val="00BB79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5615FF"/>
  <w14:defaultImageDpi w14:val="300"/>
  <w15:docId w15:val="{DB5F64BA-0D07-864D-ABAF-3823D517F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50">
    <w:name w:val="Plain Table 5"/>
    <w:basedOn w:val="a3"/>
    <w:uiPriority w:val="99"/>
    <w:rsid w:val="000E6FD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36">
    <w:name w:val="Plain Table 3"/>
    <w:basedOn w:val="a3"/>
    <w:uiPriority w:val="99"/>
    <w:rsid w:val="000E6FD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31</Pages>
  <Words>8481</Words>
  <Characters>48343</Characters>
  <Application>Microsoft Office Word</Application>
  <DocSecurity>0</DocSecurity>
  <Lines>402</Lines>
  <Paragraphs>113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56711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희정 황</cp:lastModifiedBy>
  <cp:revision>3</cp:revision>
  <dcterms:created xsi:type="dcterms:W3CDTF">2013-12-23T23:15:00Z</dcterms:created>
  <dcterms:modified xsi:type="dcterms:W3CDTF">2025-12-02T15:01:00Z</dcterms:modified>
  <cp:category/>
</cp:coreProperties>
</file>