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60E0D" w14:textId="77777777" w:rsidR="00A543D4" w:rsidRDefault="00000000">
      <w:pPr>
        <w:jc w:val="center"/>
      </w:pPr>
      <w:r>
        <w:rPr>
          <w:b/>
          <w:sz w:val="32"/>
        </w:rPr>
        <w:t>Gaussian Graphical Models Reveal Sex-Age-Metabolic Syndrome-Specific Dietary Hub Patterns for Personalized Nutrition Interventions: A Network Analysis of 23,040 Korean Adults</w:t>
      </w:r>
    </w:p>
    <w:p w14:paraId="6B38B2A8" w14:textId="77777777" w:rsidR="00A728B8" w:rsidRDefault="00A728B8">
      <w:pPr>
        <w:rPr>
          <w:i/>
          <w:sz w:val="22"/>
        </w:rPr>
      </w:pPr>
    </w:p>
    <w:p w14:paraId="1F69F259" w14:textId="0C9C8220" w:rsidR="00A543D4" w:rsidRDefault="00000000">
      <w:r>
        <w:rPr>
          <w:b/>
          <w:caps/>
          <w:sz w:val="28"/>
        </w:rPr>
        <w:t>ABSTRACT</w:t>
      </w:r>
    </w:p>
    <w:p w14:paraId="3E830FC2" w14:textId="77777777" w:rsidR="00A543D4" w:rsidRDefault="00000000">
      <w:pPr>
        <w:spacing w:after="120" w:line="360" w:lineRule="auto"/>
        <w:jc w:val="both"/>
      </w:pPr>
      <w:r>
        <w:rPr>
          <w:b/>
        </w:rPr>
        <w:t>Background:</w:t>
      </w:r>
      <w:r>
        <w:t xml:space="preserve"> Traditional dietary pattern analyses often overlook complex conditional dependencies among food groups and fail to identify actionable intervention targets. Metabolic syndrome (</w:t>
      </w:r>
      <w:proofErr w:type="spellStart"/>
      <w:r>
        <w:t>MetS</w:t>
      </w:r>
      <w:proofErr w:type="spellEnd"/>
      <w:r>
        <w:t>), affecting 25% of adults globally, requires personalized dietary strategies accounting for demographic and metabolic heterogeneity.</w:t>
      </w:r>
    </w:p>
    <w:p w14:paraId="45004DA2" w14:textId="77777777" w:rsidR="00A543D4" w:rsidRDefault="00000000">
      <w:pPr>
        <w:spacing w:after="120" w:line="360" w:lineRule="auto"/>
        <w:jc w:val="both"/>
      </w:pPr>
      <w:r>
        <w:rPr>
          <w:b/>
        </w:rPr>
        <w:t>Objective:</w:t>
      </w:r>
      <w:r>
        <w:t xml:space="preserve"> We employed Gaussian graphical models (GGM) to construct sex-age-</w:t>
      </w:r>
      <w:proofErr w:type="spellStart"/>
      <w:r>
        <w:t>MetS</w:t>
      </w:r>
      <w:proofErr w:type="spellEnd"/>
      <w:r>
        <w:t>-stratified dietary networks in Korean adults, identify hub foods with disproportionate network influence, and evaluate their dual leverage mechanism—simultaneously affecting dietary patterns (network leverage) and metabolic health (health leverage).</w:t>
      </w:r>
    </w:p>
    <w:p w14:paraId="37AF169F" w14:textId="77777777" w:rsidR="00A543D4" w:rsidRDefault="00000000">
      <w:pPr>
        <w:spacing w:after="120" w:line="360" w:lineRule="auto"/>
        <w:jc w:val="both"/>
      </w:pPr>
      <w:r>
        <w:rPr>
          <w:b/>
        </w:rPr>
        <w:t>Design:</w:t>
      </w:r>
      <w:r>
        <w:t xml:space="preserve"> Cross-sectional analysis of 23,040 Korean adults (aged 20-79 y; 17,101 </w:t>
      </w:r>
      <w:proofErr w:type="spellStart"/>
      <w:r>
        <w:t>MetS</w:t>
      </w:r>
      <w:proofErr w:type="spellEnd"/>
      <w:r>
        <w:t xml:space="preserve">-, 5,939 </w:t>
      </w:r>
      <w:proofErr w:type="spellStart"/>
      <w:r>
        <w:t>MetS</w:t>
      </w:r>
      <w:proofErr w:type="spellEnd"/>
      <w:r>
        <w:t xml:space="preserve">+) from the Health and Prevention Enhancement (H-PEACE) study. We constructed dietary networks for 11 subgroups stratified by sex, age (young: 20-39 y, middle: 40-59 y, older: 60-79 y), and </w:t>
      </w:r>
      <w:proofErr w:type="spellStart"/>
      <w:r>
        <w:t>MetS</w:t>
      </w:r>
      <w:proofErr w:type="spellEnd"/>
      <w:r>
        <w:t xml:space="preserve"> status using semiparametric Gaussian copula graphical models with graphical lasso. Hub foods were identified via degree centrality (top 3 per group). Network leverage was quantified through multiple regression examining cascading effects on connected foods (n=214 mediating pathways). Health leverage was assessed through associations with 6 metabolic indicators (BMI, waist circumference, blood pressure, fasting glucose, HDL-C, triglycerides; n=44 hub-health associations).</w:t>
      </w:r>
    </w:p>
    <w:p w14:paraId="53039246" w14:textId="77777777" w:rsidR="00A543D4" w:rsidRDefault="00000000">
      <w:pPr>
        <w:spacing w:after="120" w:line="360" w:lineRule="auto"/>
        <w:jc w:val="both"/>
      </w:pPr>
      <w:r>
        <w:rPr>
          <w:b/>
        </w:rPr>
        <w:t>Results:</w:t>
      </w:r>
      <w:r>
        <w:t xml:space="preserve"> Networks exhibited substantial heterogeneity (edge density: 0.152-0.273; modularity: 0.411-0.618). Three dietary pattern communities were consistently identified: Traditional Korean, Western/Processed, and High-Sodium patterns. Processed foods and fried foods emerged as most frequent hubs (appearing in 15/22 and 13/22 group-specific analyses, respectively), but critical group-specific hubs were identified—refined grains in </w:t>
      </w:r>
      <w:r>
        <w:lastRenderedPageBreak/>
        <w:t xml:space="preserve">young male </w:t>
      </w:r>
      <w:proofErr w:type="spellStart"/>
      <w:r>
        <w:t>MetS</w:t>
      </w:r>
      <w:proofErr w:type="spellEnd"/>
      <w:r>
        <w:t xml:space="preserve">+ (degree centrality=0.273; triglycerides +43.4 mg/dL, P&lt;0.05), and fried foods in middle-aged female </w:t>
      </w:r>
      <w:proofErr w:type="spellStart"/>
      <w:r>
        <w:t>MetS</w:t>
      </w:r>
      <w:proofErr w:type="spellEnd"/>
      <w:r>
        <w:t xml:space="preserve">+ (centrality=0.455; waist circumference +2.9 cm, P&lt;0.001). Hub foods demonstrated dual leverage: (1) </w:t>
      </w:r>
      <w:r>
        <w:rPr>
          <w:b/>
        </w:rPr>
        <w:t>Network leverage</w:t>
      </w:r>
      <w:r>
        <w:t xml:space="preserve">—high hub consumption associated with cascading increases in 4-6 connected foods (mean β=0.45; 89% positive associations; strongest: processed </w:t>
      </w:r>
      <w:proofErr w:type="spellStart"/>
      <w:r>
        <w:t>foods→sugar-sweetened</w:t>
      </w:r>
      <w:proofErr w:type="spellEnd"/>
      <w:r>
        <w:t xml:space="preserve"> beverages, β=0.90, P&lt;0.001); (2) </w:t>
      </w:r>
      <w:r>
        <w:rPr>
          <w:b/>
        </w:rPr>
        <w:t>Health leverage</w:t>
      </w:r>
      <w:r>
        <w:t xml:space="preserve">—hub modulation associated with changes in 2-3 metabolic indicators, with effects 1.8-fold stronger in </w:t>
      </w:r>
      <w:proofErr w:type="spellStart"/>
      <w:r>
        <w:t>MetS</w:t>
      </w:r>
      <w:proofErr w:type="spellEnd"/>
      <w:r>
        <w:t xml:space="preserve">+ versus </w:t>
      </w:r>
      <w:proofErr w:type="spellStart"/>
      <w:r>
        <w:t>MetS</w:t>
      </w:r>
      <w:proofErr w:type="spellEnd"/>
      <w:r>
        <w:t xml:space="preserve">- groups. Among </w:t>
      </w:r>
      <w:proofErr w:type="spellStart"/>
      <w:r>
        <w:t>MetS</w:t>
      </w:r>
      <w:proofErr w:type="spellEnd"/>
      <w:r>
        <w:t xml:space="preserve">- groups, limiting unhealthy hubs associated with BMI -0.27 to -1.12 kg/m² (P&lt;0.001) and triglycerides -7 to -11 mg/dL (P&lt;0.01); strengthening healthy hubs associated with triglycerides -7 to -9 mg/dL (P&lt;0.001) and HDL-C +0.93 to +1.81 mg/dL (P&lt;0.05). Among </w:t>
      </w:r>
      <w:proofErr w:type="spellStart"/>
      <w:r>
        <w:t>MetS</w:t>
      </w:r>
      <w:proofErr w:type="spellEnd"/>
      <w:r>
        <w:t>+ groups, strictly limiting high-risk hubs associated with BMI -0.94 to -1.01 kg/m² (P&lt;0.001), waist circumference -2.20 to -2.93 cm (P&lt;0.001), and triglycerides -25 mg/dL (P&lt;0.001).</w:t>
      </w:r>
    </w:p>
    <w:p w14:paraId="4B0F7054" w14:textId="77777777" w:rsidR="00A543D4" w:rsidRDefault="00000000">
      <w:pPr>
        <w:spacing w:after="120" w:line="360" w:lineRule="auto"/>
        <w:jc w:val="both"/>
      </w:pPr>
      <w:r>
        <w:rPr>
          <w:b/>
        </w:rPr>
        <w:t>Conclusions:</w:t>
      </w:r>
      <w:r>
        <w:t xml:space="preserve"> GGM reveals sex-age-</w:t>
      </w:r>
      <w:proofErr w:type="spellStart"/>
      <w:r>
        <w:t>MetS</w:t>
      </w:r>
      <w:proofErr w:type="spellEnd"/>
      <w:r>
        <w:t>-specific dietary hub patterns exerting dual leverage on dietary networks and metabolic health. Hub-focused interventions—targeting 3-5 strategic foods tailored to demographic-metabolic profiles—offer a scientifically rigorous, efficient approach to precision nutrition, achieving 75% complexity reduction versus comprehensive dietary modification while maintaining clinical efficacy. This paradigm shift from "change everything" to "change strategic hubs" provides the empirical foundation for network-informed personalized nutrition with direct applications in clinical counseling, digital health platforms, and public health policy.</w:t>
      </w:r>
    </w:p>
    <w:p w14:paraId="195DE40E" w14:textId="77777777" w:rsidR="00A728B8" w:rsidRDefault="00A728B8">
      <w:pPr>
        <w:spacing w:after="120" w:line="360" w:lineRule="auto"/>
        <w:jc w:val="both"/>
        <w:rPr>
          <w:b/>
        </w:rPr>
      </w:pPr>
    </w:p>
    <w:p w14:paraId="2A552BBF" w14:textId="70AC3443" w:rsidR="00A543D4" w:rsidRDefault="00000000">
      <w:pPr>
        <w:spacing w:after="120" w:line="360" w:lineRule="auto"/>
        <w:jc w:val="both"/>
      </w:pPr>
      <w:r>
        <w:rPr>
          <w:b/>
        </w:rPr>
        <w:t>Keywords:</w:t>
      </w:r>
      <w:r>
        <w:t xml:space="preserve"> Gaussian graphical models, partial correlations, dietary networks, hub foods, metabolic syndrome, stratified analysis, graphical lasso, personalized nutrition, precision nutrition, network leverage, Korean adults</w:t>
      </w:r>
    </w:p>
    <w:p w14:paraId="20383615" w14:textId="77777777" w:rsidR="00A543D4" w:rsidRDefault="00A543D4"/>
    <w:p w14:paraId="29F394DB" w14:textId="77777777" w:rsidR="00A728B8" w:rsidRDefault="00A728B8">
      <w:pPr>
        <w:rPr>
          <w:b/>
          <w:caps/>
          <w:sz w:val="28"/>
        </w:rPr>
      </w:pPr>
      <w:r>
        <w:rPr>
          <w:b/>
          <w:caps/>
          <w:sz w:val="28"/>
        </w:rPr>
        <w:br w:type="page"/>
      </w:r>
    </w:p>
    <w:p w14:paraId="277F7708" w14:textId="327ABEB9" w:rsidR="00A543D4" w:rsidRDefault="00000000">
      <w:r>
        <w:rPr>
          <w:b/>
          <w:caps/>
          <w:sz w:val="28"/>
        </w:rPr>
        <w:lastRenderedPageBreak/>
        <w:t>INTRODUCTION</w:t>
      </w:r>
    </w:p>
    <w:p w14:paraId="6006389C" w14:textId="77777777" w:rsidR="00A543D4" w:rsidRDefault="00000000">
      <w:pPr>
        <w:spacing w:after="120" w:line="360" w:lineRule="auto"/>
        <w:jc w:val="both"/>
      </w:pPr>
      <w:r>
        <w:t>Metabolic syndrome (</w:t>
      </w:r>
      <w:proofErr w:type="spellStart"/>
      <w:r>
        <w:t>MetS</w:t>
      </w:r>
      <w:proofErr w:type="spellEnd"/>
      <w:r>
        <w:t xml:space="preserve">) affects approximately one quarter of the global adult population and substantially elevates risk for type 2 diabetes and cardiovascular disease (1, 2). Dietary modification remains the cornerstone of </w:t>
      </w:r>
      <w:proofErr w:type="spellStart"/>
      <w:r>
        <w:t>MetS</w:t>
      </w:r>
      <w:proofErr w:type="spellEnd"/>
      <w:r>
        <w:t xml:space="preserve"> prevention and management, yet identifying optimal dietary intervention targets for diverse population subgroups presents persistent challenges (3, 4). Traditional dietary assessment methods—analyzing individual nutrients or deriving patterns through data reduction techniques such as principal component analysis or cluster analysis—may inadequately capture the complex, interconnected nature of human food consumption behaviors (5, 6). Furthermore, conventional co-occurrence approaches can detect spurious associations arising from confounding by shared dietary determinants, leading to inflated estimates of food-food relationships (7).</w:t>
      </w:r>
    </w:p>
    <w:p w14:paraId="69B6962E" w14:textId="77777777" w:rsidR="00A543D4" w:rsidRDefault="00000000">
      <w:pPr>
        <w:spacing w:after="120" w:line="360" w:lineRule="auto"/>
        <w:jc w:val="both"/>
      </w:pPr>
      <w:r>
        <w:t>Gaussian graphical models (GGM) offer a methodologically sophisticated framework for dietary network analysis by modeling conditional dependencies through partial correlations—the unique pairwise associations between foods after statistically controlling for all other dietary components (8, 9). Unlike simple correlation networks that conflate direct and indirect relationships, GGM explicitly adjusts for potential confounders by estimating the correlation between two foods conditional on all remaining foods in the network (10, 11). This approach reveals "hub" foods—those maintaining direct connections with multiple other foods—which may serve as strategic leverage points for behavioral interventions. Semiparametric extensions employing Gaussian copulas accommodate non-normal distributions typical of dietary frequency data while preserving the interpretability of correlation-based networks (12, 13).</w:t>
      </w:r>
    </w:p>
    <w:p w14:paraId="1CAC56ED" w14:textId="77777777" w:rsidR="00A543D4" w:rsidRDefault="00000000">
      <w:pPr>
        <w:spacing w:after="120" w:line="360" w:lineRule="auto"/>
        <w:jc w:val="both"/>
      </w:pPr>
      <w:r>
        <w:t xml:space="preserve">Recent applications of GGM to dietary epidemiology have identified meal-specific and habitual dietary networks in European populations (12, 13) and pregnancy-related dietary patterns in U.S. cohorts (14). However, these pioneering studies analyzed populations as single homogeneous entities, potentially obscuring substantial heterogeneity across demographic and clinical subgroups (15, 16). Given well-established differences in dietary preferences by sex and age (17, 18), coupled with the complex bidirectional relationship between diet and metabolic health status (19, 20), stratified GGM analysis is </w:t>
      </w:r>
      <w:r>
        <w:lastRenderedPageBreak/>
        <w:t>essential to inform personalized nutrition strategies—a priority area in contemporary nutritional sciences (21, 22).</w:t>
      </w:r>
    </w:p>
    <w:p w14:paraId="1A8F9160" w14:textId="77777777" w:rsidR="00A543D4" w:rsidRDefault="00000000">
      <w:pPr>
        <w:spacing w:after="120" w:line="360" w:lineRule="auto"/>
        <w:jc w:val="both"/>
      </w:pPr>
      <w:r>
        <w:t xml:space="preserve">Moreover, previous dietary network studies have primarily focused on network topology descriptors without explicitly quantifying the functional implications of hub foods through two critical pathways: (1) </w:t>
      </w:r>
      <w:r>
        <w:rPr>
          <w:b/>
        </w:rPr>
        <w:t>network leverage</w:t>
      </w:r>
      <w:r>
        <w:t xml:space="preserve">—the cascading influence of hub food consumption on intake of connected foods, representing within-diet behavioral spillover effects; and (2) </w:t>
      </w:r>
      <w:r>
        <w:rPr>
          <w:b/>
        </w:rPr>
        <w:t>health leverage</w:t>
      </w:r>
      <w:r>
        <w:t>—the direct associations between hub foods and clinically relevant metabolic health indicators. Empirical characterization of this dual leverage mechanism would provide the mechanistic rationale for hub-focused dietary interventions as an efficient alternative to traditional comprehensive dietary modifications.</w:t>
      </w:r>
    </w:p>
    <w:p w14:paraId="10C8CA19" w14:textId="77777777" w:rsidR="00A543D4" w:rsidRDefault="00000000">
      <w:pPr>
        <w:spacing w:after="120" w:line="360" w:lineRule="auto"/>
        <w:jc w:val="both"/>
      </w:pPr>
      <w:r>
        <w:t>To address these knowledge gaps, we conducted a large-scale, sex-age-</w:t>
      </w:r>
      <w:proofErr w:type="spellStart"/>
      <w:r>
        <w:t>MetS</w:t>
      </w:r>
      <w:proofErr w:type="spellEnd"/>
      <w:r>
        <w:t>-stratified GGM analysis of dietary patterns in 23,040 Korean adults participating in the Health and Prevention Enhancement (H-PEACE) study. Our specific objectives were to: (1) construct conditional dependency networks using semiparametric Gaussian copula graphical models with cross-validated graphical lasso regularization; (2) identify hub foods within each demographic-metabolic subgroup using degree centrality metrics; (3) quantify the network leverage of hub foods through analysis of cascading effects on consumption of connected foods; (4) assess the health leverage of hub foods through associations with six metabolic health indicators; and (5) distinguish universal hubs appearing across demographic strata from group-specific hubs requiring tailored intervention strategies. These findings provide empirical evidence for network-informed precision nutrition, offering actionable targets for both population-wide and personalized dietary interventions grounded in actual consumption patterns.</w:t>
      </w:r>
    </w:p>
    <w:p w14:paraId="6E14E1B7" w14:textId="77777777" w:rsidR="00A728B8" w:rsidRDefault="00A728B8">
      <w:pPr>
        <w:rPr>
          <w:color w:val="C0C0C0"/>
        </w:rPr>
      </w:pPr>
      <w:r>
        <w:rPr>
          <w:color w:val="C0C0C0"/>
        </w:rPr>
        <w:br w:type="page"/>
      </w:r>
    </w:p>
    <w:p w14:paraId="6F40B731" w14:textId="00A25148" w:rsidR="00A543D4" w:rsidRDefault="00000000">
      <w:r>
        <w:rPr>
          <w:b/>
          <w:caps/>
          <w:sz w:val="28"/>
        </w:rPr>
        <w:lastRenderedPageBreak/>
        <w:t>METHODS</w:t>
      </w:r>
    </w:p>
    <w:p w14:paraId="20C0D5DA" w14:textId="77777777" w:rsidR="00A543D4" w:rsidRDefault="00000000">
      <w:r>
        <w:rPr>
          <w:b/>
          <w:i/>
        </w:rPr>
        <w:t>Study Population and Design</w:t>
      </w:r>
    </w:p>
    <w:p w14:paraId="20D8DA33" w14:textId="77777777" w:rsidR="00A543D4" w:rsidRDefault="00000000">
      <w:pPr>
        <w:spacing w:after="120" w:line="360" w:lineRule="auto"/>
        <w:jc w:val="both"/>
      </w:pPr>
      <w:r>
        <w:t>This study utilized data from the Health and Prevention Enhancement (H-PEACE) study, an ongoing prospective cohort investigation conducted at the Seoul National University Hospital Healthcare System Gangnam Center since 2003. The H-PEACE study was designed to investigate determinants and natural history of chronic diseases through comprehensive health screening examinations of Korean adults voluntarily participating in regular health checkups. Participants undergo standardized medical assessments including anthropometric measurements, blood pressure evaluation, fasting laboratory tests, and detailed questionnaires on lifestyle behaviors and dietary habits.</w:t>
      </w:r>
    </w:p>
    <w:p w14:paraId="3A378D60" w14:textId="77777777" w:rsidR="00A543D4" w:rsidRDefault="00000000">
      <w:pPr>
        <w:spacing w:after="120" w:line="360" w:lineRule="auto"/>
        <w:jc w:val="both"/>
      </w:pPr>
      <w:r>
        <w:t xml:space="preserve">For the current analysis, we included 23,040 adults aged 20-79 years who completed comprehensive health screening examinations and dietary assessments between 2003 and 2023. Participants were excluded if they had: (1) incomplete dietary data (missing ≥3 food frequency questionnaire items); (2) missing anthropometric or laboratory measurements required for </w:t>
      </w:r>
      <w:proofErr w:type="spellStart"/>
      <w:r>
        <w:t>MetS</w:t>
      </w:r>
      <w:proofErr w:type="spellEnd"/>
      <w:r>
        <w:t xml:space="preserve"> classification; or (3) history of major chronic diseases (cancer, cardiovascular disease, or chronic kidney disease stage ≥4) that could substantially alter dietary patterns independent of </w:t>
      </w:r>
      <w:proofErr w:type="spellStart"/>
      <w:r>
        <w:t>MetS</w:t>
      </w:r>
      <w:proofErr w:type="spellEnd"/>
      <w:r>
        <w:t xml:space="preserve"> status. The final analytical sample comprised 17,101 individuals without </w:t>
      </w:r>
      <w:proofErr w:type="spellStart"/>
      <w:r>
        <w:t>MetS</w:t>
      </w:r>
      <w:proofErr w:type="spellEnd"/>
      <w:r>
        <w:t xml:space="preserve"> (</w:t>
      </w:r>
      <w:proofErr w:type="spellStart"/>
      <w:r>
        <w:t>MetS</w:t>
      </w:r>
      <w:proofErr w:type="spellEnd"/>
      <w:r>
        <w:t xml:space="preserve">-) and 5,939 individuals with </w:t>
      </w:r>
      <w:proofErr w:type="spellStart"/>
      <w:r>
        <w:t>MetS</w:t>
      </w:r>
      <w:proofErr w:type="spellEnd"/>
      <w:r>
        <w:t xml:space="preserve"> (</w:t>
      </w:r>
      <w:proofErr w:type="spellStart"/>
      <w:r>
        <w:t>MetS</w:t>
      </w:r>
      <w:proofErr w:type="spellEnd"/>
      <w:r>
        <w:t>+).</w:t>
      </w:r>
    </w:p>
    <w:p w14:paraId="00377438" w14:textId="77777777" w:rsidR="00A543D4" w:rsidRDefault="00000000">
      <w:pPr>
        <w:spacing w:after="120" w:line="360" w:lineRule="auto"/>
        <w:jc w:val="both"/>
      </w:pPr>
      <w:r>
        <w:t xml:space="preserve">Participants were stratified into 11 subgroups by sex (male/female), age category (young adults: 20-39 y, middle-aged: 40-59 y, older adults: 60-79 y), and </w:t>
      </w:r>
      <w:proofErr w:type="spellStart"/>
      <w:r>
        <w:t>MetS</w:t>
      </w:r>
      <w:proofErr w:type="spellEnd"/>
      <w:r>
        <w:t xml:space="preserve"> status (</w:t>
      </w:r>
      <w:proofErr w:type="spellStart"/>
      <w:r>
        <w:t>MetS</w:t>
      </w:r>
      <w:proofErr w:type="spellEnd"/>
      <w:r>
        <w:t xml:space="preserve">-, </w:t>
      </w:r>
      <w:proofErr w:type="spellStart"/>
      <w:r>
        <w:t>MetS</w:t>
      </w:r>
      <w:proofErr w:type="spellEnd"/>
      <w:r>
        <w:t xml:space="preserve">+). The young female </w:t>
      </w:r>
      <w:proofErr w:type="spellStart"/>
      <w:r>
        <w:t>MetS</w:t>
      </w:r>
      <w:proofErr w:type="spellEnd"/>
      <w:r>
        <w:t>+ subgroup (n=76) was excluded from network analysis due to insufficient statistical power for reliable sparse network estimation (23, 24), yielding 11 analytical subgroups with sample sizes ranging from 516 to 5,629 participants per group (Supplementary Table S1).</w:t>
      </w:r>
    </w:p>
    <w:p w14:paraId="6A7241BD" w14:textId="77777777" w:rsidR="00A543D4" w:rsidRDefault="00000000">
      <w:pPr>
        <w:spacing w:after="120" w:line="360" w:lineRule="auto"/>
        <w:jc w:val="both"/>
      </w:pPr>
      <w:r>
        <w:t>The H-PEACE study protocol was approved by the Institutional Review Board of Seoul National University Hospital (IRB No. H-XXXX-XXX-XXX). All participants provided written informed consent prior to enrollment.</w:t>
      </w:r>
    </w:p>
    <w:p w14:paraId="2B9D328C" w14:textId="77777777" w:rsidR="00A728B8" w:rsidRDefault="00A728B8">
      <w:pPr>
        <w:rPr>
          <w:b/>
          <w:i/>
        </w:rPr>
      </w:pPr>
    </w:p>
    <w:p w14:paraId="3C50CEBF" w14:textId="322409EA" w:rsidR="00A543D4" w:rsidRDefault="00000000">
      <w:r>
        <w:rPr>
          <w:b/>
          <w:i/>
        </w:rPr>
        <w:lastRenderedPageBreak/>
        <w:t>Metabolic Syndrome Definition</w:t>
      </w:r>
    </w:p>
    <w:p w14:paraId="03184A82" w14:textId="77777777" w:rsidR="00A543D4" w:rsidRDefault="00000000">
      <w:pPr>
        <w:spacing w:after="120" w:line="360" w:lineRule="auto"/>
        <w:jc w:val="both"/>
      </w:pPr>
      <w:proofErr w:type="spellStart"/>
      <w:r>
        <w:t>MetS</w:t>
      </w:r>
      <w:proofErr w:type="spellEnd"/>
      <w:r>
        <w:t xml:space="preserve"> was defined using modified National Cholesterol Education Program Adult Treatment Panel III (NCEP ATP III) criteria with Asian-specific waist circumference thresholds recommended by the International Diabetes Federation (25). Participants meeting ≥3 of the following 5 criteria were classified as </w:t>
      </w:r>
      <w:proofErr w:type="spellStart"/>
      <w:r>
        <w:t>MetS</w:t>
      </w:r>
      <w:proofErr w:type="spellEnd"/>
      <w:r>
        <w:t>+: (1) elevated waist circumference ≥90 cm (men) or ≥85 cm (women); (2) elevated triglycerides ≥150 mg/dL or lipid-lowering medication use; (3) reduced HDL-cholesterol &lt;40 mg/dL (men) or &lt;50 mg/dL (women) or lipid-modifying medication use; (4) elevated blood pressure ≥130/85 mmHg or antihypertensive medication use; (5) elevated fasting glucose ≥100 mg/dL or antidiabetic medication use.</w:t>
      </w:r>
    </w:p>
    <w:p w14:paraId="12603752" w14:textId="77777777" w:rsidR="00A728B8" w:rsidRDefault="00A728B8">
      <w:pPr>
        <w:rPr>
          <w:b/>
          <w:i/>
        </w:rPr>
      </w:pPr>
    </w:p>
    <w:p w14:paraId="55EF1DE3" w14:textId="48A8E4D9" w:rsidR="00A543D4" w:rsidRDefault="00000000">
      <w:r>
        <w:rPr>
          <w:b/>
          <w:i/>
        </w:rPr>
        <w:t>Dietary Assessment and Food Group Classification</w:t>
      </w:r>
    </w:p>
    <w:p w14:paraId="515A844D" w14:textId="77777777" w:rsidR="00A543D4" w:rsidRDefault="00000000">
      <w:pPr>
        <w:spacing w:after="120" w:line="360" w:lineRule="auto"/>
        <w:jc w:val="both"/>
      </w:pPr>
      <w:r>
        <w:t>Dietary intake was assessed using a validated semi-quantitative food frequency questionnaire (FFQ) specifically developed for Korean dietary patterns (Supplementary Figure S1). The FFQ captured usual consumption frequency of 19 food items over the preceding 12 months. Validation studies demonstrated acceptable reproducibility (intraclass correlation coefficients: 0.54-0.78) and reasonable validity against multiple 24-hour dietary recalls (Spearman correlation coefficients: 0.42-0.67) for major food groups (26).</w:t>
      </w:r>
    </w:p>
    <w:p w14:paraId="189271F7" w14:textId="77777777" w:rsidR="00A543D4" w:rsidRDefault="00000000">
      <w:pPr>
        <w:spacing w:after="120" w:line="360" w:lineRule="auto"/>
        <w:jc w:val="both"/>
      </w:pPr>
      <w:r>
        <w:t xml:space="preserve">Foods were aggregated into 12 mutually exclusive groups based on nutritional composition and Korean dietary pattern characteristics: (1) </w:t>
      </w:r>
      <w:r>
        <w:rPr>
          <w:b/>
        </w:rPr>
        <w:t>grain products</w:t>
      </w:r>
      <w:r>
        <w:t xml:space="preserve"> (rice, bread, noodles, cereals); (2) </w:t>
      </w:r>
      <w:r>
        <w:rPr>
          <w:b/>
        </w:rPr>
        <w:t>protein foods</w:t>
      </w:r>
      <w:r>
        <w:t xml:space="preserve"> (meat, fish, eggs, legumes, tofu); (3) </w:t>
      </w:r>
      <w:r>
        <w:rPr>
          <w:b/>
        </w:rPr>
        <w:t>vegetables</w:t>
      </w:r>
      <w:r>
        <w:t xml:space="preserve"> (excluding kimchi and pickled vegetables); (4) </w:t>
      </w:r>
      <w:r>
        <w:rPr>
          <w:b/>
        </w:rPr>
        <w:t>dairy products</w:t>
      </w:r>
      <w:r>
        <w:t xml:space="preserve"> (milk, yogurt, cheese); (5) </w:t>
      </w:r>
      <w:r>
        <w:rPr>
          <w:b/>
        </w:rPr>
        <w:t>fruits</w:t>
      </w:r>
      <w:r>
        <w:t xml:space="preserve">; (6) </w:t>
      </w:r>
      <w:r>
        <w:rPr>
          <w:b/>
        </w:rPr>
        <w:t>fried foods</w:t>
      </w:r>
      <w:r>
        <w:t xml:space="preserve"> (fried chicken, French fries, tempura, pan-fried dishes); (7) </w:t>
      </w:r>
      <w:r>
        <w:rPr>
          <w:b/>
        </w:rPr>
        <w:t>high-fat meat</w:t>
      </w:r>
      <w:r>
        <w:t xml:space="preserve"> (fatty pork belly, beef ribs, processed meats); (8) </w:t>
      </w:r>
      <w:r>
        <w:rPr>
          <w:b/>
        </w:rPr>
        <w:t>processed foods</w:t>
      </w:r>
      <w:r>
        <w:t xml:space="preserve"> (instant noodles, frozen meals, canned foods, packaged snacks); (9) </w:t>
      </w:r>
      <w:r>
        <w:rPr>
          <w:b/>
        </w:rPr>
        <w:t>sugar-sweetened beverages</w:t>
      </w:r>
      <w:r>
        <w:t xml:space="preserve"> (sodas, fruit drinks, sweetened coffee); (10) </w:t>
      </w:r>
      <w:r>
        <w:rPr>
          <w:b/>
        </w:rPr>
        <w:t>sweet foods</w:t>
      </w:r>
      <w:r>
        <w:t xml:space="preserve"> (cakes, cookies, candies, ice cream); (11) </w:t>
      </w:r>
      <w:r>
        <w:rPr>
          <w:b/>
        </w:rPr>
        <w:t>added salt use</w:t>
      </w:r>
      <w:r>
        <w:t xml:space="preserve"> (adding salt at the table); (12) </w:t>
      </w:r>
      <w:r>
        <w:rPr>
          <w:b/>
        </w:rPr>
        <w:t>salty foods</w:t>
      </w:r>
      <w:r>
        <w:t xml:space="preserve"> (kimchi, pickled vegetables, salted fish, fermented sauces).</w:t>
      </w:r>
    </w:p>
    <w:p w14:paraId="452ACB1A" w14:textId="77777777" w:rsidR="00A543D4" w:rsidRDefault="00000000">
      <w:pPr>
        <w:spacing w:after="120" w:line="360" w:lineRule="auto"/>
        <w:jc w:val="both"/>
      </w:pPr>
      <w:r>
        <w:lastRenderedPageBreak/>
        <w:t>Each food group was scored on 3-point or 4-point ordinal scales based on consumption frequency, with higher scores indicating more frequent consumption (Supplementary Table S2). The scoring system was designed to capture dietary pattern variability rather than absolute nutrient intake, consistent with GGM objectives focused on food-food conditional dependencies (12, 13).</w:t>
      </w:r>
    </w:p>
    <w:p w14:paraId="2826F725" w14:textId="77777777" w:rsidR="00A728B8" w:rsidRDefault="00A728B8">
      <w:pPr>
        <w:rPr>
          <w:b/>
          <w:i/>
        </w:rPr>
      </w:pPr>
    </w:p>
    <w:p w14:paraId="15BE6B08" w14:textId="1036FA24" w:rsidR="00A543D4" w:rsidRDefault="00000000">
      <w:r>
        <w:rPr>
          <w:b/>
          <w:i/>
        </w:rPr>
        <w:t>Gaussian Graphical Model Construction</w:t>
      </w:r>
    </w:p>
    <w:p w14:paraId="451CC96E" w14:textId="77777777" w:rsidR="00A543D4" w:rsidRDefault="00000000">
      <w:pPr>
        <w:spacing w:after="120" w:line="360" w:lineRule="auto"/>
        <w:jc w:val="both"/>
      </w:pPr>
      <w:r>
        <w:t>For each of the 11 stratified subgroups, we constructed dietary networks using semiparametric Gaussian copula graphical models (SGCGM) to estimate conditional dependencies via partial correlations. The analytical pipeline consisted of four sequential steps:</w:t>
      </w:r>
    </w:p>
    <w:p w14:paraId="7C684B49" w14:textId="77777777" w:rsidR="00A543D4" w:rsidRDefault="00000000">
      <w:pPr>
        <w:spacing w:after="120" w:line="360" w:lineRule="auto"/>
        <w:jc w:val="both"/>
      </w:pPr>
      <w:r>
        <w:rPr>
          <w:b/>
        </w:rPr>
        <w:t>Step 1: Nonparanormal SKEPTIC Transformation</w:t>
      </w:r>
    </w:p>
    <w:p w14:paraId="481D36EA" w14:textId="77777777" w:rsidR="00A543D4" w:rsidRDefault="00000000">
      <w:pPr>
        <w:spacing w:after="120" w:line="360" w:lineRule="auto"/>
        <w:jc w:val="both"/>
      </w:pPr>
      <w:r>
        <w:t xml:space="preserve">To accommodate non-Gaussian distributions typical of dietary frequency data, we applied the Nonparanormal SKEPTIC (Semiparametric Truncated Independent Closure) transformation (27). This method estimates a Gaussian copula model via three operations: First, observations within each food group were ranked. Second, empirical cumulative distribution functions (CDFs) were computed with </w:t>
      </w:r>
      <w:proofErr w:type="spellStart"/>
      <w:r>
        <w:t>Winsorization</w:t>
      </w:r>
      <w:proofErr w:type="spellEnd"/>
      <w:r>
        <w:t xml:space="preserve"> to avoid infinite values: F̂(x) = (rank(x) - 0.5) / n, where n is sample size. Third, Gaussian quantile transformation was applied: Z = Φ⁻¹(F̂(x)), where Φ⁻¹ denotes the inverse standard normal CDF. This transformation preserves Spearman's rank correlation structure while enabling valid Gaussian modeling assumptions (27).</w:t>
      </w:r>
    </w:p>
    <w:p w14:paraId="23D0918A" w14:textId="77777777" w:rsidR="00A543D4" w:rsidRDefault="00000000">
      <w:pPr>
        <w:spacing w:after="120" w:line="360" w:lineRule="auto"/>
        <w:jc w:val="both"/>
      </w:pPr>
      <w:r>
        <w:rPr>
          <w:b/>
        </w:rPr>
        <w:t>Step 2: Graphical Lasso with L1 Penalization</w:t>
      </w:r>
    </w:p>
    <w:p w14:paraId="136C2F81" w14:textId="77777777" w:rsidR="00A543D4" w:rsidRDefault="00000000">
      <w:pPr>
        <w:spacing w:after="120" w:line="360" w:lineRule="auto"/>
        <w:jc w:val="both"/>
      </w:pPr>
      <w:r>
        <w:t>We estimated sparse precision matrices (Θ, the inverse covariance matrix) via L1-penalized maximum likelihood, solving the optimization problem (8):</w:t>
      </w:r>
    </w:p>
    <w:p w14:paraId="38672F92" w14:textId="10A77BB3" w:rsidR="00A543D4" w:rsidRDefault="00A728B8">
      <w:pPr>
        <w:spacing w:after="120" w:line="360" w:lineRule="auto"/>
        <w:jc w:val="both"/>
      </w:pPr>
      <m:oMathPara>
        <m:oMath>
          <m:sSub>
            <m:sSubPr>
              <m:ctrlPr>
                <w:rPr>
                  <w:rFonts w:ascii="Cambria Math" w:hAnsi="Cambria Math"/>
                  <w:i/>
                </w:rPr>
              </m:ctrlPr>
            </m:sSubPr>
            <m:e>
              <m:r>
                <m:rPr>
                  <m:sty m:val="p"/>
                </m:rPr>
                <w:rPr>
                  <w:rFonts w:ascii="Cambria Math" w:hAnsi="Cambria Math"/>
                </w:rPr>
                <m:t>minimize</m:t>
              </m:r>
              <m:ctrlPr>
                <w:rPr>
                  <w:rFonts w:ascii="Cambria Math" w:hAnsi="Cambria Math"/>
                </w:rPr>
              </m:ctrlPr>
            </m:e>
            <m:sub>
              <m:r>
                <m:rPr>
                  <m:sty m:val="p"/>
                </m:rPr>
                <w:rPr>
                  <w:rFonts w:ascii="Cambria Math" w:hAnsi="Cambria Math" w:hint="eastAsia"/>
                </w:rPr>
                <m:t>Θ</m:t>
              </m:r>
            </m:sub>
          </m:sSub>
          <m:r>
            <w:rPr>
              <w:rFonts w:ascii="Cambria Math" w:hAnsi="Cambria Math"/>
            </w:rPr>
            <m:t> </m:t>
          </m:r>
          <m:d>
            <m:dPr>
              <m:begChr m:val="{"/>
              <m:endChr m:val="}"/>
              <m:ctrlPr>
                <w:rPr>
                  <w:rFonts w:ascii="Cambria Math" w:hAnsi="Cambria Math"/>
                </w:rPr>
              </m:ctrlPr>
            </m:dPr>
            <m:e>
              <m:r>
                <w:rPr>
                  <w:rFonts w:ascii="Cambria Math" w:hAnsi="Cambria Math"/>
                </w:rPr>
                <m:t> -</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m:rPr>
                              <m:sty m:val="p"/>
                            </m:rPr>
                            <w:rPr>
                              <w:rFonts w:ascii="Cambria Math" w:hAnsi="Cambria Math" w:hint="eastAsia"/>
                            </w:rPr>
                            <m:t>Θ</m:t>
                          </m:r>
                        </m:e>
                      </m:d>
                    </m:e>
                  </m:func>
                </m:e>
              </m:func>
              <m:r>
                <w:rPr>
                  <w:rFonts w:ascii="Cambria Math" w:hAnsi="Cambria Math"/>
                </w:rPr>
                <m:t>+</m:t>
              </m:r>
              <m:r>
                <m:rPr>
                  <m:nor/>
                </m:rPr>
                <w:rPr>
                  <w:rFonts w:ascii="Cambria Math" w:hAnsi="Cambria Math"/>
                </w:rPr>
                <m:t>tr</m:t>
              </m:r>
              <m:d>
                <m:dPr>
                  <m:ctrlPr>
                    <w:rPr>
                      <w:rFonts w:ascii="Cambria Math" w:hAnsi="Cambria Math"/>
                      <w:i/>
                    </w:rPr>
                  </m:ctrlPr>
                </m:dPr>
                <m:e>
                  <m:r>
                    <m:rPr>
                      <m:sty m:val="p"/>
                    </m:rPr>
                    <w:rPr>
                      <w:rFonts w:ascii="Cambria Math" w:hAnsi="Cambria Math"/>
                    </w:rPr>
                    <m:t>S</m:t>
                  </m:r>
                  <m:r>
                    <m:rPr>
                      <m:sty m:val="p"/>
                    </m:rPr>
                    <w:rPr>
                      <w:rFonts w:ascii="Cambria Math" w:hAnsi="Cambria Math" w:hint="eastAsia"/>
                    </w:rPr>
                    <m:t>Θ</m:t>
                  </m:r>
                </m:e>
              </m:d>
              <m:r>
                <w:rPr>
                  <w:rFonts w:ascii="Cambria Math" w:hAnsi="Cambria Math"/>
                </w:rPr>
                <m:t>+</m:t>
              </m:r>
              <m:r>
                <m:rPr>
                  <m:sty m:val="p"/>
                </m:rPr>
                <w:rPr>
                  <w:rFonts w:ascii="Cambria Math" w:hAnsi="Cambria Math"/>
                </w:rPr>
                <m:t>λ</m:t>
              </m:r>
              <m:r>
                <w:rPr>
                  <w:rFonts w:ascii="Cambria Math" w:hAnsi="Cambria Math"/>
                </w:rPr>
                <m:t> </m:t>
              </m:r>
              <m:r>
                <m:rPr>
                  <m:lit/>
                </m:rPr>
                <w:rPr>
                  <w:rFonts w:ascii="Cambria Math" w:hAnsi="Cambria Math"/>
                </w:rPr>
                <m:t>|</m:t>
              </m:r>
              <m:r>
                <m:rPr>
                  <m:sty m:val="p"/>
                </m:rPr>
                <w:rPr>
                  <w:rFonts w:ascii="Cambria Math" w:hAnsi="Cambria Math" w:hint="eastAsia"/>
                </w:rPr>
                <m:t>Θ</m:t>
              </m:r>
              <m:sSub>
                <m:sSubPr>
                  <m:ctrlPr>
                    <w:rPr>
                      <w:rFonts w:ascii="Cambria Math" w:hAnsi="Cambria Math"/>
                      <w:i/>
                    </w:rPr>
                  </m:ctrlPr>
                </m:sSubPr>
                <m:e>
                  <m:r>
                    <m:rPr>
                      <m:lit/>
                    </m:rPr>
                    <w:rPr>
                      <w:rFonts w:ascii="Cambria Math" w:hAnsi="Cambria Math"/>
                    </w:rPr>
                    <m:t>|</m:t>
                  </m:r>
                </m:e>
                <m:sub>
                  <m:r>
                    <w:rPr>
                      <w:rFonts w:ascii="Cambria Math" w:hAnsi="Cambria Math"/>
                    </w:rPr>
                    <m:t>1</m:t>
                  </m:r>
                </m:sub>
              </m:sSub>
              <m:r>
                <w:rPr>
                  <w:rFonts w:ascii="Cambria Math" w:hAnsi="Cambria Math"/>
                </w:rPr>
                <m:t> </m:t>
              </m:r>
              <m:ctrlPr>
                <w:rPr>
                  <w:rFonts w:ascii="Cambria Math" w:hAnsi="Cambria Math"/>
                  <w:i/>
                </w:rPr>
              </m:ctrlPr>
            </m:e>
          </m:d>
        </m:oMath>
      </m:oMathPara>
    </w:p>
    <w:p w14:paraId="6998C75B" w14:textId="77777777" w:rsidR="00A543D4" w:rsidRDefault="00000000">
      <w:pPr>
        <w:spacing w:after="120" w:line="360" w:lineRule="auto"/>
        <w:jc w:val="both"/>
      </w:pPr>
      <w:r>
        <w:t xml:space="preserve">where S represents the empirical correlation matrix, λ is the regularization parameter controlling network sparsity, and ||Θ||₁ denotes the L1 norm (sum of absolute values of off-diagonal elements). The L1 penalty induces sparsity by shrinking small partial </w:t>
      </w:r>
      <w:r>
        <w:lastRenderedPageBreak/>
        <w:t>correlations to exactly zero, effectively removing spurious edges arising from statistical noise or indirect confounding (28).</w:t>
      </w:r>
    </w:p>
    <w:p w14:paraId="2524EDAA" w14:textId="77777777" w:rsidR="00A543D4" w:rsidRDefault="00000000">
      <w:pPr>
        <w:spacing w:after="120" w:line="360" w:lineRule="auto"/>
        <w:jc w:val="both"/>
      </w:pPr>
      <w:r>
        <w:rPr>
          <w:b/>
        </w:rPr>
        <w:t>Step 3: Cross-Validation for Regularization Parameter Selection</w:t>
      </w:r>
    </w:p>
    <w:p w14:paraId="14BE530D" w14:textId="77777777" w:rsidR="00A543D4" w:rsidRDefault="00000000">
      <w:pPr>
        <w:spacing w:after="120" w:line="360" w:lineRule="auto"/>
        <w:jc w:val="both"/>
      </w:pPr>
      <w:r>
        <w:t>For each subgroup, we selected the optimal λ via 5-fold cross-validation with held-out log-likelihood evaluation. Data were partitioned into five folds; graphical lasso was trained on four folds, and log-likelihood was computed on the held-out fold: log L(Θ) = log det(Θ) - tr(S&lt;sub&gt;test&lt;/sub&gt;Θ), where S&lt;sub&gt;test&lt;/sub&gt; is the test sample covariance matrix. We evaluated 15 λ values logarithmically spaced from 0.01 to 0.316 and selected the λ maximizing mean test log-likelihood across folds (29). This data-driven approach balances model complexity (number of edges) against goodness-of-fit, avoiding both over-sparse networks (information loss) and over-dense networks (spurious edges).</w:t>
      </w:r>
    </w:p>
    <w:p w14:paraId="6484C75A" w14:textId="77777777" w:rsidR="00A543D4" w:rsidRDefault="00000000">
      <w:pPr>
        <w:spacing w:after="120" w:line="360" w:lineRule="auto"/>
        <w:jc w:val="both"/>
      </w:pPr>
      <w:r>
        <w:rPr>
          <w:b/>
        </w:rPr>
        <w:t>Step 4: Partial Correlation Network Construction</w:t>
      </w:r>
    </w:p>
    <w:p w14:paraId="54E0B949" w14:textId="77777777" w:rsidR="00A543D4" w:rsidRDefault="00000000">
      <w:pPr>
        <w:spacing w:after="120" w:line="360" w:lineRule="auto"/>
        <w:jc w:val="both"/>
      </w:pPr>
      <w:r>
        <w:t>Precision matrix elements were converted to partial correlations using: ρ&lt;sub&gt;ij&lt;/sub&gt; = -θ&lt;sub&gt;ij&lt;/sub&gt; / √(θ&lt;sub&gt;ii&lt;/sub&gt; × θ&lt;sub&gt;jj&lt;/sub&gt;), where ρ&lt;sub&gt;ij&lt;/sub&gt; represents the correlation between foods i and j controlling for all other foods (10). Edges were retained if absolute partial correlation exceeded 0.10, representing meaningful conditional dependencies based on established effect size conventions (30). Positive partial correlations (green edges in visualizations) indicate co-consumption tendencies, while negative partial correlations (red edges) reflect substitution patterns.</w:t>
      </w:r>
    </w:p>
    <w:p w14:paraId="4C310D72" w14:textId="77777777" w:rsidR="00A543D4" w:rsidRDefault="00000000">
      <w:pPr>
        <w:spacing w:after="120" w:line="360" w:lineRule="auto"/>
        <w:jc w:val="both"/>
      </w:pPr>
      <w:r>
        <w:t>All GGM analyses were conducted in Python 3.9 using scikit-learn 1.0 (graphical lasso implementation) and custom scripts for SKEPTIC transformation.</w:t>
      </w:r>
    </w:p>
    <w:p w14:paraId="10DDA5C9" w14:textId="77777777" w:rsidR="00A543D4" w:rsidRDefault="00000000">
      <w:r>
        <w:rPr>
          <w:b/>
          <w:i/>
        </w:rPr>
        <w:t>Network Topology Analysis</w:t>
      </w:r>
    </w:p>
    <w:p w14:paraId="222DBB8E" w14:textId="77777777" w:rsidR="00A543D4" w:rsidRDefault="00000000">
      <w:pPr>
        <w:spacing w:after="120" w:line="360" w:lineRule="auto"/>
        <w:jc w:val="both"/>
      </w:pPr>
      <w:r>
        <w:t>We calculated three node centrality metrics for each food group in every network (31):</w:t>
      </w:r>
    </w:p>
    <w:p w14:paraId="4F80FE84" w14:textId="77777777" w:rsidR="00A543D4" w:rsidRDefault="00000000">
      <w:pPr>
        <w:spacing w:after="120" w:line="360" w:lineRule="auto"/>
        <w:jc w:val="both"/>
      </w:pPr>
      <w:r>
        <w:t xml:space="preserve">1. </w:t>
      </w:r>
      <w:r>
        <w:rPr>
          <w:b/>
        </w:rPr>
        <w:t>Degree centrality</w:t>
      </w:r>
      <w:r>
        <w:t>: DC(i) = k(i) / (N-1), where k(i) is the number of direct connections for node i, and N=12 is the total number of nodes. Degree centrality ranges from 0 (isolated node) to 1 (connected to all nodes).</w:t>
      </w:r>
    </w:p>
    <w:p w14:paraId="22B0F62E" w14:textId="77777777" w:rsidR="00A543D4" w:rsidRDefault="00000000">
      <w:pPr>
        <w:spacing w:after="120" w:line="360" w:lineRule="auto"/>
        <w:jc w:val="both"/>
      </w:pPr>
      <w:r>
        <w:t xml:space="preserve">2. </w:t>
      </w:r>
      <w:r>
        <w:rPr>
          <w:b/>
        </w:rPr>
        <w:t>Betweenness centrality</w:t>
      </w:r>
      <w:r>
        <w:t xml:space="preserve">: BC(i) = Σ&lt;sub&gt;s≠i≠t&lt;/sub&gt; </w:t>
      </w:r>
      <w:r>
        <w:rPr>
          <w:i/>
        </w:rPr>
        <w:t>σ&lt;sub&gt;st&lt;/sub&gt;(i) / σ&lt;sub&gt;st&lt;/sub&gt;</w:t>
      </w:r>
      <w:r>
        <w:t xml:space="preserve">, where σ&lt;sub&gt;st&lt;/sub&gt; is the total number of shortest paths from node </w:t>
      </w:r>
      <w:r>
        <w:lastRenderedPageBreak/>
        <w:t>s to node t, and σ&lt;sub&gt;st&lt;/sub&gt;(i) is the number passing through node i. Betweenness quantifies a node's role in connecting disparate network regions.</w:t>
      </w:r>
    </w:p>
    <w:p w14:paraId="79E10F96" w14:textId="77777777" w:rsidR="00A543D4" w:rsidRDefault="00000000">
      <w:pPr>
        <w:spacing w:after="120" w:line="360" w:lineRule="auto"/>
        <w:jc w:val="both"/>
      </w:pPr>
      <w:r>
        <w:t xml:space="preserve">3. </w:t>
      </w:r>
      <w:r>
        <w:rPr>
          <w:b/>
        </w:rPr>
        <w:t>Closeness centrality</w:t>
      </w:r>
      <w:r>
        <w:t>: CC(i) = (N-1) / Σ&lt;sub&gt;j&lt;/sub&gt; d(i,j), where d(i,j) is the shortest path distance from node i to node j. Closeness measures how quickly a node can reach all other nodes.</w:t>
      </w:r>
    </w:p>
    <w:p w14:paraId="4A1FD545" w14:textId="77777777" w:rsidR="00A543D4" w:rsidRDefault="00000000">
      <w:pPr>
        <w:spacing w:after="120" w:line="360" w:lineRule="auto"/>
        <w:jc w:val="both"/>
      </w:pPr>
      <w:r>
        <w:rPr>
          <w:b/>
        </w:rPr>
        <w:t>Hub foods</w:t>
      </w:r>
      <w:r>
        <w:t xml:space="preserve"> were operationally defined as those ranking in the top 3 for degree centrality within their subgroup. This threshold was justified by: (1) empirical observation that top-3 foods accounted for 40-60% of total network connectivity; (2) intervention feasibility considerations, as targeting 3-5 foods represents a manageable scope for clinical counseling; (3) high correlation (Pearson r&gt;0.70) between degree centrality and alternative centrality metrics, validating degree as a robust hub indicator.</w:t>
      </w:r>
    </w:p>
    <w:p w14:paraId="42458192" w14:textId="77777777" w:rsidR="00A543D4" w:rsidRDefault="00000000">
      <w:pPr>
        <w:spacing w:after="120" w:line="360" w:lineRule="auto"/>
        <w:jc w:val="both"/>
      </w:pPr>
      <w:r>
        <w:t>Network topology metrics (edge count, density, average clustering coefficient) were computed using NetworkX 2.8 (Python).</w:t>
      </w:r>
    </w:p>
    <w:p w14:paraId="7F889F24" w14:textId="77777777" w:rsidR="00A543D4" w:rsidRDefault="00000000">
      <w:r>
        <w:rPr>
          <w:b/>
          <w:i/>
        </w:rPr>
        <w:t>Community Detection and Dietary Pattern Identification</w:t>
      </w:r>
    </w:p>
    <w:p w14:paraId="374E37DE" w14:textId="77777777" w:rsidR="00A543D4" w:rsidRDefault="00000000">
      <w:pPr>
        <w:spacing w:after="120" w:line="360" w:lineRule="auto"/>
        <w:jc w:val="both"/>
      </w:pPr>
      <w:r>
        <w:t>To identify clusters of co-consumed food groups representing distinct dietary patterns, we applied the Louvain community detection algorithm to each network (32). The Louvain method optimizes modularity (Q), a measure quantifying the strength of network partition into communities:</w:t>
      </w:r>
    </w:p>
    <w:p w14:paraId="4EC20901" w14:textId="591CF021" w:rsidR="00A543D4" w:rsidRDefault="00A728B8">
      <w:pPr>
        <w:spacing w:after="120" w:line="360" w:lineRule="auto"/>
        <w:jc w:val="both"/>
      </w:pPr>
      <m:oMathPara>
        <m:oMath>
          <m:r>
            <w:rPr>
              <w:rFonts w:ascii="Cambria Math" w:hAnsi="Cambria Math"/>
            </w:rPr>
            <m:t>Q=</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2m</m:t>
              </m:r>
            </m:e>
          </m:d>
          <m:r>
            <w:rPr>
              <w:rFonts w:ascii="Cambria Math" w:hAnsi="Cambria Math"/>
            </w:rPr>
            <m:t>Σ&lt;sub&gt;ij&lt;</m:t>
          </m:r>
          <m:r>
            <m:rPr>
              <m:lit/>
            </m:rPr>
            <w:rPr>
              <w:rFonts w:ascii="Cambria Math" w:hAnsi="Cambria Math"/>
            </w:rPr>
            <m:t>/</m:t>
          </m:r>
          <m:r>
            <w:rPr>
              <w:rFonts w:ascii="Cambria Math" w:hAnsi="Cambria Math"/>
            </w:rPr>
            <m:t>sub&gt;A&lt;sub&gt;ij&lt;</m:t>
          </m:r>
          <m:r>
            <m:rPr>
              <m:lit/>
            </m:rPr>
            <w:rPr>
              <w:rFonts w:ascii="Cambria Math" w:hAnsi="Cambria Math"/>
            </w:rPr>
            <m:t>/</m:t>
          </m:r>
          <m:r>
            <w:rPr>
              <w:rFonts w:ascii="Cambria Math" w:hAnsi="Cambria Math"/>
            </w:rPr>
            <m:t>sub&gt;-</m:t>
          </m:r>
          <m:d>
            <m:dPr>
              <m:ctrlPr>
                <w:rPr>
                  <w:rFonts w:ascii="Cambria Math" w:hAnsi="Cambria Math"/>
                  <w:i/>
                </w:rPr>
              </m:ctrlPr>
            </m:dPr>
            <m:e>
              <m:r>
                <w:rPr>
                  <w:rFonts w:ascii="Cambria Math" w:hAnsi="Cambria Math"/>
                </w:rPr>
                <m:t>k&lt;sub&gt;i&lt;</m:t>
              </m:r>
              <m:r>
                <m:rPr>
                  <m:lit/>
                </m:rPr>
                <w:rPr>
                  <w:rFonts w:ascii="Cambria Math" w:hAnsi="Cambria Math"/>
                </w:rPr>
                <m:t>/</m:t>
              </m:r>
              <m:r>
                <w:rPr>
                  <w:rFonts w:ascii="Cambria Math" w:hAnsi="Cambria Math"/>
                </w:rPr>
                <m:t>sub&gt;k&lt;sub&gt;j&lt;</m:t>
              </m:r>
              <m:r>
                <m:rPr>
                  <m:lit/>
                </m:rPr>
                <w:rPr>
                  <w:rFonts w:ascii="Cambria Math" w:hAnsi="Cambria Math"/>
                </w:rPr>
                <m:t>/</m:t>
              </m:r>
              <m:r>
                <w:rPr>
                  <w:rFonts w:ascii="Cambria Math" w:hAnsi="Cambria Math"/>
                </w:rPr>
                <m:t>sub&gt;</m:t>
              </m:r>
              <m:r>
                <m:rPr>
                  <m:lit/>
                </m:rPr>
                <w:rPr>
                  <w:rFonts w:ascii="Cambria Math" w:hAnsi="Cambria Math"/>
                </w:rPr>
                <m:t>/</m:t>
              </m:r>
              <m:r>
                <w:rPr>
                  <w:rFonts w:ascii="Cambria Math" w:hAnsi="Cambria Math"/>
                </w:rPr>
                <m:t>2m</m:t>
              </m:r>
            </m:e>
          </m:d>
          <m:r>
            <w:rPr>
              <w:rFonts w:ascii="Cambria Math" w:hAnsi="Cambria Math"/>
            </w:rPr>
            <m:t>δ</m:t>
          </m:r>
          <m:d>
            <m:dPr>
              <m:ctrlPr>
                <w:rPr>
                  <w:rFonts w:ascii="Cambria Math" w:hAnsi="Cambria Math"/>
                  <w:i/>
                </w:rPr>
              </m:ctrlPr>
            </m:dPr>
            <m:e>
              <m:r>
                <w:rPr>
                  <w:rFonts w:ascii="Cambria Math" w:hAnsi="Cambria Math"/>
                </w:rPr>
                <m:t>c&lt;sub&gt;i&lt;</m:t>
              </m:r>
              <m:r>
                <m:rPr>
                  <m:lit/>
                </m:rPr>
                <w:rPr>
                  <w:rFonts w:ascii="Cambria Math" w:hAnsi="Cambria Math"/>
                </w:rPr>
                <m:t>/</m:t>
              </m:r>
              <m:r>
                <w:rPr>
                  <w:rFonts w:ascii="Cambria Math" w:hAnsi="Cambria Math"/>
                </w:rPr>
                <m:t>sub&gt;,c&lt;sub&gt;j&lt;</m:t>
              </m:r>
              <m:r>
                <m:rPr>
                  <m:lit/>
                </m:rPr>
                <w:rPr>
                  <w:rFonts w:ascii="Cambria Math" w:hAnsi="Cambria Math"/>
                </w:rPr>
                <m:t>/</m:t>
              </m:r>
              <m:r>
                <w:rPr>
                  <w:rFonts w:ascii="Cambria Math" w:hAnsi="Cambria Math"/>
                </w:rPr>
                <m:t>sub&gt;</m:t>
              </m:r>
            </m:e>
          </m:d>
        </m:oMath>
      </m:oMathPara>
    </w:p>
    <w:p w14:paraId="04E03E8A" w14:textId="77777777" w:rsidR="00A543D4" w:rsidRDefault="00000000">
      <w:pPr>
        <w:spacing w:after="120" w:line="360" w:lineRule="auto"/>
        <w:jc w:val="both"/>
      </w:pPr>
      <w:r>
        <w:t>where m is total edge count, A&lt;sub&gt;ij&lt;/sub&gt; is the adjacency matrix (weighted by partial correlations), k&lt;sub&gt;i&lt;/sub&gt; and k&lt;sub&gt;j&lt;/sub&gt; are node degrees, c&lt;sub&gt;i&lt;/sub&gt; and c&lt;sub&gt;j&lt;/sub&gt; are community assignments, and δ(c&lt;sub&gt;i&lt;/sub&gt;,c&lt;sub&gt;j&lt;/sub&gt;)=1 if nodes i and j belong to the same community, 0 otherwise. Modularity ranges from -0.5 to 1.0, with Q&gt;0.3 indicating meaningful community structure (32).</w:t>
      </w:r>
    </w:p>
    <w:p w14:paraId="29CBD913" w14:textId="77777777" w:rsidR="00A543D4" w:rsidRDefault="00000000">
      <w:pPr>
        <w:spacing w:after="120" w:line="360" w:lineRule="auto"/>
        <w:jc w:val="both"/>
      </w:pPr>
      <w:r>
        <w:t>Communities were interpreted as dietary patterns based on their food composition: communities dominated by grains, vegetables, protein foods, dairy, and fruits were classified as "</w:t>
      </w:r>
      <w:r>
        <w:rPr>
          <w:b/>
        </w:rPr>
        <w:t>Traditional Korean Diet Pattern</w:t>
      </w:r>
      <w:r>
        <w:t xml:space="preserve">"; those comprising predominantly </w:t>
      </w:r>
      <w:r>
        <w:lastRenderedPageBreak/>
        <w:t>processed foods, fried foods, sugar-sweetened beverages, high-fat meat, and sweets as "</w:t>
      </w:r>
      <w:r>
        <w:rPr>
          <w:b/>
        </w:rPr>
        <w:t>Western/Processed Food Pattern</w:t>
      </w:r>
      <w:r>
        <w:t>"; and communities with high-sodium foods (added salt, salty foods) as "</w:t>
      </w:r>
      <w:r>
        <w:rPr>
          <w:b/>
        </w:rPr>
        <w:t>High-Sodium Pattern</w:t>
      </w:r>
      <w:r>
        <w:t>" (33, 34). This classification enables systematic comparison of dietary pattern prevalence and structure across demographic-metabolic subgroups.</w:t>
      </w:r>
    </w:p>
    <w:p w14:paraId="0C537670" w14:textId="77777777" w:rsidR="00A543D4" w:rsidRDefault="00000000">
      <w:r>
        <w:rPr>
          <w:b/>
          <w:i/>
        </w:rPr>
        <w:t>Quantification of Hub Food Network Leverage</w:t>
      </w:r>
    </w:p>
    <w:p w14:paraId="78F35391" w14:textId="77777777" w:rsidR="00A543D4" w:rsidRDefault="00000000">
      <w:pPr>
        <w:spacing w:after="120" w:line="360" w:lineRule="auto"/>
        <w:jc w:val="both"/>
      </w:pPr>
      <w:r>
        <w:t xml:space="preserve">To assess the </w:t>
      </w:r>
      <w:r>
        <w:rPr>
          <w:b/>
        </w:rPr>
        <w:t>network leverage</w:t>
      </w:r>
      <w:r>
        <w:t xml:space="preserve"> of hub foods—their cascading influence on consumption of connected foods—we employed multiple linear regression for each identified hub in every subgroup. Participants were dichotomized into high versus low hub consumption groups (median split). For each food group connected to the hub in the network, we fitted the model:</w:t>
      </w:r>
    </w:p>
    <w:p w14:paraId="29D9DA50" w14:textId="77777777" w:rsidR="00A543D4" w:rsidRDefault="00000000">
      <w:pPr>
        <w:spacing w:after="120" w:line="360" w:lineRule="auto"/>
        <w:jc w:val="both"/>
      </w:pPr>
      <w:r>
        <w:t>Y&lt;sub&gt;connected food&lt;/sub&gt; = β₀ + β₁(hub consumption group) + β₂(age) + β₃(education) + β₄(income) + β₅(physical activity) + β₆(smoking) + β₇(alcohol) + β₈(total energy) + β₉(BMI) + β₁₀(disease count) + ε</w:t>
      </w:r>
    </w:p>
    <w:p w14:paraId="2598F379" w14:textId="77777777" w:rsidR="00A543D4" w:rsidRDefault="00000000">
      <w:pPr>
        <w:spacing w:after="120" w:line="360" w:lineRule="auto"/>
        <w:jc w:val="both"/>
      </w:pPr>
      <w:r>
        <w:t>The coefficient β₁ quantifies the mean difference in connected food consumption between high versus low hub consumption groups, adjusted for potential confounders. Standardized β coefficients were computed to enable cross-food comparisons, with conventional interpretation: |β|=0.2 (small effect), |β|=0.5 (moderate effect), |β|=0.8 (large effect) (35).</w:t>
      </w:r>
    </w:p>
    <w:p w14:paraId="77C13C93" w14:textId="77777777" w:rsidR="00A543D4" w:rsidRDefault="00000000">
      <w:pPr>
        <w:spacing w:after="120" w:line="360" w:lineRule="auto"/>
        <w:jc w:val="both"/>
      </w:pPr>
      <w:r>
        <w:t>We analyzed n=214 hub→connected food pathways across all 11 subgroups, characterizing the prevalence and magnitude of positive (co-consumption cascade) versus negative (substitution cascade) effects.</w:t>
      </w:r>
    </w:p>
    <w:p w14:paraId="4B3DC884" w14:textId="77777777" w:rsidR="00A543D4" w:rsidRDefault="00000000">
      <w:r>
        <w:rPr>
          <w:b/>
          <w:i/>
        </w:rPr>
        <w:t>Quantification of Hub Food Health Leverage</w:t>
      </w:r>
    </w:p>
    <w:p w14:paraId="1C424633" w14:textId="77777777" w:rsidR="00A543D4" w:rsidRDefault="00000000">
      <w:pPr>
        <w:spacing w:after="120" w:line="360" w:lineRule="auto"/>
        <w:jc w:val="both"/>
      </w:pPr>
      <w:r>
        <w:t xml:space="preserve">To assess the </w:t>
      </w:r>
      <w:r>
        <w:rPr>
          <w:b/>
        </w:rPr>
        <w:t>health leverage</w:t>
      </w:r>
      <w:r>
        <w:t xml:space="preserve"> of hub foods—their direct associations with metabolic health—we employed multiple linear regression for six clinically relevant indicators: BMI (kg/m²), waist circumference (cm), systolic blood pressure (mmHg), fasting glucose (mg/dL), HDL-cholesterol (mg/dL), and triglycerides (mg/dL). For each hub food in each subgroup, we fitted the model:</w:t>
      </w:r>
    </w:p>
    <w:p w14:paraId="358BC8A0" w14:textId="77777777" w:rsidR="00A543D4" w:rsidRDefault="00000000">
      <w:pPr>
        <w:spacing w:after="120" w:line="360" w:lineRule="auto"/>
        <w:jc w:val="both"/>
      </w:pPr>
      <w:r>
        <w:lastRenderedPageBreak/>
        <w:t xml:space="preserve">Y&lt;sub&gt;health indicator&lt;/sub&gt; = β₀ + β₁(hub consumption group) + </w:t>
      </w:r>
      <w:r>
        <w:rPr>
          <w:i/>
        </w:rPr>
        <w:t>covariates as above</w:t>
      </w:r>
      <w:r>
        <w:t xml:space="preserve"> + ε</w:t>
      </w:r>
    </w:p>
    <w:p w14:paraId="4E9C8182" w14:textId="77777777" w:rsidR="00A543D4" w:rsidRDefault="00000000">
      <w:pPr>
        <w:spacing w:after="120" w:line="360" w:lineRule="auto"/>
        <w:jc w:val="both"/>
      </w:pPr>
      <w:r>
        <w:t>We analyzed n=44 hub-health associations (22 hubs × 2 prioritized indicators per hub based on clinical relevance), comparing effect sizes between MetS- (prevention context) versus MetS+ (management context) subgroups.</w:t>
      </w:r>
    </w:p>
    <w:p w14:paraId="65213AD5" w14:textId="77777777" w:rsidR="00A543D4" w:rsidRDefault="00000000">
      <w:pPr>
        <w:spacing w:after="120" w:line="360" w:lineRule="auto"/>
        <w:jc w:val="both"/>
      </w:pPr>
      <w:r>
        <w:t>Clinically significant thresholds were defined a priori: BMI ±1.0 kg/m² (one obesity stage); waist circumference ±2.5 cm (MetS criterion threshold); triglycerides ±25 mg/dL (10% change from upper normal limit of 150 mg/dL); HDL-C ±2 mg/dL (each 10 mg/dL increase associates with ~30% cardiovascular risk reduction) (36, 37).</w:t>
      </w:r>
    </w:p>
    <w:p w14:paraId="46DAD8B7" w14:textId="77777777" w:rsidR="00A543D4" w:rsidRDefault="00000000">
      <w:r>
        <w:rPr>
          <w:b/>
          <w:i/>
        </w:rPr>
        <w:t>Statistical Analysis</w:t>
      </w:r>
    </w:p>
    <w:p w14:paraId="54B8CE6E" w14:textId="77777777" w:rsidR="00A543D4" w:rsidRDefault="00000000">
      <w:pPr>
        <w:spacing w:after="120" w:line="360" w:lineRule="auto"/>
        <w:jc w:val="both"/>
      </w:pPr>
      <w:r>
        <w:t>Continuous variables are presented as mean ± SD; categorical variables as frequency (percentage). Between-group comparisons employed independent t-tests (continuous) or chi-square tests (categorical). All regression analyses were two-sided with α=0.05. To account for multiple comparisons in hub-health associations (n=44 tests), we also report false discovery rate (FDR)-adjusted P values using the Benjamini-Hochberg procedure (38). Statistical analyses were performed using Python 3.9 (statsmodels 0.13, scipy 1.7).</w:t>
      </w:r>
    </w:p>
    <w:p w14:paraId="08D85EFB" w14:textId="77777777" w:rsidR="00A728B8" w:rsidRDefault="00A728B8">
      <w:pPr>
        <w:rPr>
          <w:color w:val="C0C0C0"/>
        </w:rPr>
      </w:pPr>
      <w:r>
        <w:rPr>
          <w:color w:val="C0C0C0"/>
        </w:rPr>
        <w:br w:type="page"/>
      </w:r>
    </w:p>
    <w:p w14:paraId="73C96FAC" w14:textId="35FEBE54" w:rsidR="00A543D4" w:rsidRDefault="00000000">
      <w:r>
        <w:rPr>
          <w:b/>
          <w:caps/>
          <w:sz w:val="28"/>
        </w:rPr>
        <w:lastRenderedPageBreak/>
        <w:t>RESULTS</w:t>
      </w:r>
    </w:p>
    <w:p w14:paraId="11CE095B" w14:textId="77777777" w:rsidR="00A543D4" w:rsidRDefault="00000000">
      <w:r>
        <w:rPr>
          <w:b/>
          <w:i/>
        </w:rPr>
        <w:t>Study Population Characteristics</w:t>
      </w:r>
    </w:p>
    <w:p w14:paraId="2849A2E1" w14:textId="77777777" w:rsidR="00A543D4" w:rsidRDefault="00000000">
      <w:pPr>
        <w:spacing w:after="120" w:line="360" w:lineRule="auto"/>
        <w:jc w:val="both"/>
      </w:pPr>
      <w:r>
        <w:t>The final analytical sample comprised 23,040 adults (mean age 51.2±12.8 y; 13,406 males, 9,634 females), including 17,101 MetS- individuals (74.2%) and 5,939 MetS+ individuals (25.8%). Comprehensive baseline characteristics are presented in Table 1, encompassing demographic, anthropometric, clinical, lifestyle, and dietary variables.</w:t>
      </w:r>
    </w:p>
    <w:p w14:paraId="2BFA5BC5" w14:textId="77777777" w:rsidR="00A543D4" w:rsidRDefault="00000000">
      <w:pPr>
        <w:spacing w:after="120" w:line="360" w:lineRule="auto"/>
        <w:jc w:val="both"/>
      </w:pPr>
      <w:r>
        <w:t>Compared to MetS- counterparts, MetS+ individuals exhibited markedly worse metabolic profiles across all demographic strata (all P&lt;0.001). Anthropometric measures showed substantial differences: BMI was 3.0-8.0 kg/m² higher and waist circumference 8-19 cm higher in MetS+ groups. Blood pressure was consistently elevated (systolic: +12 mmHg; diastolic: +8 mmHg). Lipid profiles revealed triglycerides elevated by 74 mg/dL and HDL-C reduced by 11 mg/dL in MetS+ versus MetS- groups. Fasting glucose was approximately 17 mg/dL higher in MetS+ individuals.</w:t>
      </w:r>
    </w:p>
    <w:p w14:paraId="3E9F59BA" w14:textId="77777777" w:rsidR="00A543D4" w:rsidRDefault="00000000">
      <w:pPr>
        <w:spacing w:after="120" w:line="360" w:lineRule="auto"/>
        <w:jc w:val="both"/>
      </w:pPr>
      <w:r>
        <w:t>Age-specific patterns emerged distinctly: Young adults (20-39 y) with MetS+ demonstrated lower education levels, substantially reduced physical activity, and unhealthy dietary habits (increased eating-out and snacking frequency). Middle-aged adults (40-59 y) exhibited the largest clinical gaps, with MetS+ individuals showing dramatically elevated chronic disease prevalence (hypertension: 50%; diabetes: 30%) and medication use. Older adults (60-79 y) with MetS+ exhibited high multimorbidity and reduced estimated glomerular filtration rate, indicating renal function decline.</w:t>
      </w:r>
    </w:p>
    <w:p w14:paraId="02420127" w14:textId="77777777" w:rsidR="00A543D4" w:rsidRDefault="00000000">
      <w:pPr>
        <w:spacing w:after="120" w:line="360" w:lineRule="auto"/>
        <w:jc w:val="both"/>
      </w:pPr>
      <w:r>
        <w:t>Sex-specific differences were apparent: Among males, MetS+ groups showed higher smoking rates and alcohol consumption; among females, MetS+ groups demonstrated significantly lower physical activity and greater education-level disparities. Dietary pattern disparities were consistent, with MetS+ groups consuming more unhealthy foods (fried foods, processed foods, sugar-sweetened beverages) and fewer healthy foods (vegetables, fruits) (Table 1).</w:t>
      </w:r>
    </w:p>
    <w:p w14:paraId="3932DAB5" w14:textId="77777777" w:rsidR="00A543D4" w:rsidRDefault="00000000">
      <w:r>
        <w:rPr>
          <w:b/>
          <w:i/>
        </w:rPr>
        <w:t>Network Structure Heterogeneity Across Sex-Age-MetS Strata</w:t>
      </w:r>
    </w:p>
    <w:p w14:paraId="6EFD2BAB" w14:textId="77777777" w:rsidR="00A543D4" w:rsidRDefault="00000000">
      <w:pPr>
        <w:spacing w:after="120" w:line="360" w:lineRule="auto"/>
        <w:jc w:val="both"/>
      </w:pPr>
      <w:r>
        <w:t xml:space="preserve">GGM revealed substantial heterogeneity in conditional dependency structure across demographic-metabolic strata (Figure 1; Supplementary Table S3). Network edge counts </w:t>
      </w:r>
      <w:r>
        <w:lastRenderedPageBreak/>
        <w:t>ranged from 10 to 18 (mean=11.5, SD=1.6), with edge density varying from 0.152 to 0.273 (mean=0.174, SD=0.024). These variations reflect group-specific dietary co-consumption patterns after controlling for confounding through partial correlations.</w:t>
      </w:r>
    </w:p>
    <w:p w14:paraId="01812EC5" w14:textId="77777777" w:rsidR="00A543D4" w:rsidRDefault="00000000">
      <w:pPr>
        <w:spacing w:after="120" w:line="360" w:lineRule="auto"/>
        <w:jc w:val="both"/>
      </w:pPr>
      <w:r>
        <w:t>Network complexity differed systematically by MetS status within age-sex strata. Middle-aged males (40-59 y) exhibited the strongest MetS-specific differentiation: MetS+ networks contained 30% more edges (13 vs. 10, Δ=+3) and substantially lower modularity (0.467 vs. 0.608, Δ=-0.141), indicating more densely interconnected and less modular dietary patterns. Higher network density in MetS+ suggests more rigid co-consumption of unhealthy foods, potentially making dietary modification more challenging as interventions must address multiple interconnected food groups simultaneously.</w:t>
      </w:r>
    </w:p>
    <w:p w14:paraId="53EBE168" w14:textId="77777777" w:rsidR="00A543D4" w:rsidRDefault="00000000">
      <w:pPr>
        <w:spacing w:after="120" w:line="360" w:lineRule="auto"/>
        <w:jc w:val="both"/>
      </w:pPr>
      <w:r>
        <w:t>Partial correlation strengths also varied substantially (range: |ρ|=0.10 to |ρ|=0.78). The strongest positive partial correlations (ρ&gt;0.50) consistently involved processed foods–fried foods pairs across multiple groups, indicating genuine co-consumption after controlling for all other foods. Moderate positive correlations (ρ=0.30-0.50) linked protein foods with various food groups, suggesting protein-rich meals often co-occur with diverse accompaniments. Negative partial correlations (ρ&lt;-0.20) appeared in several groups, suggesting substitution patterns where consumption of one food associates with reduced consumption of another, independent of other foods—relationships obscured in simple co-occurrence analyses.</w:t>
      </w:r>
    </w:p>
    <w:p w14:paraId="1B332235" w14:textId="77777777" w:rsidR="00A543D4" w:rsidRDefault="00000000">
      <w:r>
        <w:rPr>
          <w:b/>
          <w:i/>
        </w:rPr>
        <w:t>Hub Food Identification: Universal and Group-Specific Patterns</w:t>
      </w:r>
    </w:p>
    <w:p w14:paraId="13B41EE0" w14:textId="77777777" w:rsidR="00A543D4" w:rsidRDefault="00000000">
      <w:pPr>
        <w:spacing w:after="120" w:line="360" w:lineRule="auto"/>
        <w:jc w:val="both"/>
      </w:pPr>
      <w:r>
        <w:t xml:space="preserve">Hub food analysis revealed both universal risk patterns and critical group-specific variations (Figure 2; Supplementary Figure S1). Contrary to expectations based on dietary guidelines, </w:t>
      </w:r>
      <w:r>
        <w:rPr>
          <w:b/>
        </w:rPr>
        <w:t>processed foods</w:t>
      </w:r>
      <w:r>
        <w:t xml:space="preserve"> emerged as the most frequent hub across groups (appearing in 9/11 subgroups, 82%), followed by </w:t>
      </w:r>
      <w:r>
        <w:rPr>
          <w:b/>
        </w:rPr>
        <w:t>fried foods</w:t>
      </w:r>
      <w:r>
        <w:t xml:space="preserve"> (7/11, 64%). Traditional healthy foods showed lower hub frequencies: vegetables (3/11, 27%), fruits (2/11, 18%), and grains (4/11, 36%). This disconnect between dietary recommendations and actual network structure highlights a fundamental challenge in translating nutritional guidelines to real-world dietary patterns.</w:t>
      </w:r>
    </w:p>
    <w:p w14:paraId="00114621" w14:textId="77777777" w:rsidR="00A543D4" w:rsidRDefault="00000000">
      <w:pPr>
        <w:spacing w:after="120" w:line="360" w:lineRule="auto"/>
        <w:jc w:val="both"/>
      </w:pPr>
      <w:r>
        <w:lastRenderedPageBreak/>
        <w:t>Hub connectivity varied substantially, with degree centrality values ranging from 0.182 to 0.545 (mean=0.327, SD=0.098). Top-ranked hubs (first position) showed higher average degree (mean=0.389, range: 0.273-0.545) compared to second and third position hubs (mean=0.294, range: 0.182-0.455), suggesting that top hubs have broader network-wide influence due to higher connectivity.</w:t>
      </w:r>
    </w:p>
    <w:p w14:paraId="31BC0FCB" w14:textId="77777777" w:rsidR="00A543D4" w:rsidRDefault="00000000">
      <w:pPr>
        <w:spacing w:after="120" w:line="360" w:lineRule="auto"/>
        <w:jc w:val="both"/>
      </w:pPr>
      <w:r>
        <w:t>Critical group-specific hubs requiring tailored intervention strategies included:</w:t>
      </w:r>
    </w:p>
    <w:p w14:paraId="16B6B43E" w14:textId="77777777" w:rsidR="00A543D4" w:rsidRDefault="00000000">
      <w:pPr>
        <w:spacing w:after="120" w:line="360" w:lineRule="auto"/>
        <w:jc w:val="both"/>
      </w:pPr>
      <w:r>
        <w:t xml:space="preserve">- </w:t>
      </w:r>
      <w:r>
        <w:rPr>
          <w:b/>
        </w:rPr>
        <w:t>Young male MetS+</w:t>
      </w:r>
      <w:r>
        <w:t>: Refined grain products (degree=0.273; associated with triglycerides +43.4 mg/dL, P&lt;0.05)</w:t>
      </w:r>
    </w:p>
    <w:p w14:paraId="7A2D794C" w14:textId="77777777" w:rsidR="00A543D4" w:rsidRDefault="00000000">
      <w:pPr>
        <w:spacing w:after="120" w:line="360" w:lineRule="auto"/>
        <w:jc w:val="both"/>
      </w:pPr>
      <w:r>
        <w:t xml:space="preserve">- </w:t>
      </w:r>
      <w:r>
        <w:rPr>
          <w:b/>
        </w:rPr>
        <w:t>Middle-aged female MetS+</w:t>
      </w:r>
      <w:r>
        <w:t>: Fried foods (degree=0.455; associated with waist circumference +2.9 cm, P&lt;0.001)</w:t>
      </w:r>
    </w:p>
    <w:p w14:paraId="3D936374" w14:textId="77777777" w:rsidR="00A543D4" w:rsidRDefault="00000000">
      <w:pPr>
        <w:spacing w:after="120" w:line="360" w:lineRule="auto"/>
        <w:jc w:val="both"/>
      </w:pPr>
      <w:r>
        <w:t xml:space="preserve">- </w:t>
      </w:r>
      <w:r>
        <w:rPr>
          <w:b/>
        </w:rPr>
        <w:t>Older male MetS+</w:t>
      </w:r>
      <w:r>
        <w:t>: Sugar-sweetened beverages (degree=0.364; associated with fasting glucose +8.2 mg/dL, P&lt;0.01)</w:t>
      </w:r>
    </w:p>
    <w:p w14:paraId="5A5B22F2" w14:textId="77777777" w:rsidR="00A543D4" w:rsidRDefault="00000000">
      <w:pPr>
        <w:spacing w:after="120" w:line="360" w:lineRule="auto"/>
        <w:jc w:val="both"/>
      </w:pPr>
      <w:r>
        <w:t xml:space="preserve">- </w:t>
      </w:r>
      <w:r>
        <w:rPr>
          <w:b/>
        </w:rPr>
        <w:t>Older female MetS+</w:t>
      </w:r>
      <w:r>
        <w:t>: Grain products (degree=0.333; associated with BMI +1.01 kg/m², P&lt;0.001)</w:t>
      </w:r>
    </w:p>
    <w:p w14:paraId="75587487" w14:textId="77777777" w:rsidR="00A543D4" w:rsidRDefault="00000000">
      <w:pPr>
        <w:spacing w:after="120" w:line="360" w:lineRule="auto"/>
        <w:jc w:val="both"/>
      </w:pPr>
      <w:r>
        <w:t xml:space="preserve">Notably, </w:t>
      </w:r>
      <w:r>
        <w:rPr>
          <w:b/>
        </w:rPr>
        <w:t>protein foods</w:t>
      </w:r>
      <w:r>
        <w:t xml:space="preserve"> exhibited a striking MetS-protective pattern: appearing as hubs in 100% of MetS- groups (6/6) but only 40% of MetS+ groups (2/5). This association held across diverse age-sex strata, suggesting that protein-centric dietary patterns may play a universal protective role in metabolic health maintenance (P&lt;0.01 for MetS- vs. MetS+ difference in hub frequency, Fisher's exact test).</w:t>
      </w:r>
    </w:p>
    <w:p w14:paraId="5D7B5E58" w14:textId="77777777" w:rsidR="00A543D4" w:rsidRDefault="00000000">
      <w:r>
        <w:rPr>
          <w:b/>
          <w:i/>
        </w:rPr>
        <w:t>Community Structure and Dietary Pattern Modularity</w:t>
      </w:r>
    </w:p>
    <w:p w14:paraId="60DF472F" w14:textId="77777777" w:rsidR="00A543D4" w:rsidRDefault="00000000">
      <w:pPr>
        <w:spacing w:after="120" w:line="360" w:lineRule="auto"/>
        <w:jc w:val="both"/>
      </w:pPr>
      <w:r>
        <w:t>Louvain community detection identified 3-5 communities per network (mean=3.7, SD=0.8), with modularity scores ranging from 0.467 to 0.610 (mean=0.545, SD=0.049) (Supplementary Figure S2). MetS- groups exhibited consistently higher modularity (mean Q=0.564) compared to MetS+ groups (mean Q=0.530, P=0.038, unpaired t-test), suggesting that metabolically healthy individuals maintain more clearly segmented dietary patterns with distinct food consumption modules. Lower modularity in MetS+ networks indicates more promiscuous co-consumption across different food categories, potentially reflecting less structured eating behaviors.</w:t>
      </w:r>
    </w:p>
    <w:p w14:paraId="70BAC185" w14:textId="77777777" w:rsidR="00A543D4" w:rsidRDefault="00000000">
      <w:pPr>
        <w:spacing w:after="120" w:line="360" w:lineRule="auto"/>
        <w:jc w:val="both"/>
      </w:pPr>
      <w:r>
        <w:t>Community composition analysis revealed three primary dietary patterns across networks:</w:t>
      </w:r>
    </w:p>
    <w:p w14:paraId="479EF74A" w14:textId="77777777" w:rsidR="00A543D4" w:rsidRDefault="00000000">
      <w:pPr>
        <w:spacing w:after="120" w:line="360" w:lineRule="auto"/>
        <w:jc w:val="both"/>
      </w:pPr>
      <w:r>
        <w:lastRenderedPageBreak/>
        <w:t xml:space="preserve">1. </w:t>
      </w:r>
      <w:r>
        <w:rPr>
          <w:b/>
        </w:rPr>
        <w:t>Traditional Korean Diet Pattern</w:t>
      </w:r>
      <w:r>
        <w:t xml:space="preserve"> (grains, vegetables, protein foods, dairy, fruits): Present in all 11 networks; higher internal density in MetS- groups (mean=0.68 vs. 0.54 in MetS+, P=0.031).</w:t>
      </w:r>
    </w:p>
    <w:p w14:paraId="3881A1FB" w14:textId="77777777" w:rsidR="00A543D4" w:rsidRDefault="00000000">
      <w:pPr>
        <w:spacing w:after="120" w:line="360" w:lineRule="auto"/>
        <w:jc w:val="both"/>
      </w:pPr>
      <w:r>
        <w:t xml:space="preserve">2. </w:t>
      </w:r>
      <w:r>
        <w:rPr>
          <w:b/>
        </w:rPr>
        <w:t>Western/Processed Food Pattern</w:t>
      </w:r>
      <w:r>
        <w:t xml:space="preserve"> (processed foods, fried foods, high-fat meat, sugar-sweetened beverages, sweets): Present in all 11 networks; higher internal density in MetS+ groups (mean=0.72 vs. 0.59 in MetS-, P=0.019), with particularly tight clustering in middle-aged male MetS+ (internal density=0.80).</w:t>
      </w:r>
    </w:p>
    <w:p w14:paraId="602FFAB1" w14:textId="77777777" w:rsidR="00A543D4" w:rsidRDefault="00000000">
      <w:pPr>
        <w:spacing w:after="120" w:line="360" w:lineRule="auto"/>
        <w:jc w:val="both"/>
      </w:pPr>
      <w:r>
        <w:t xml:space="preserve">3. </w:t>
      </w:r>
      <w:r>
        <w:rPr>
          <w:b/>
        </w:rPr>
        <w:t>High-Sodium Pattern</w:t>
      </w:r>
      <w:r>
        <w:t xml:space="preserve"> (salty foods, added salt): Appeared as an independent community in 9/11 networks, operating largely independently from other patterns.</w:t>
      </w:r>
    </w:p>
    <w:p w14:paraId="2BB13058" w14:textId="77777777" w:rsidR="00A543D4" w:rsidRDefault="00000000">
      <w:pPr>
        <w:spacing w:after="120" w:line="360" w:lineRule="auto"/>
        <w:jc w:val="both"/>
      </w:pPr>
      <w:r>
        <w:t>The independence of these communities carries important clinical implications: individuals can simultaneously harbor healthy and unhealthy dietary patterns, and hub foods predominantly function within-community rather than bridging between communities (mean inter-community connectivity: 12% vs. intra-community: 88%).</w:t>
      </w:r>
    </w:p>
    <w:p w14:paraId="479863DB" w14:textId="77777777" w:rsidR="00A543D4" w:rsidRDefault="00000000">
      <w:r>
        <w:rPr>
          <w:b/>
          <w:i/>
        </w:rPr>
        <w:t>Network Leverage: Cascading Effects of Hub Foods on Connected Foods</w:t>
      </w:r>
    </w:p>
    <w:p w14:paraId="3C3B91C4" w14:textId="77777777" w:rsidR="00A543D4" w:rsidRDefault="00000000">
      <w:pPr>
        <w:spacing w:after="120" w:line="360" w:lineRule="auto"/>
        <w:jc w:val="both"/>
      </w:pPr>
      <w:r>
        <w:t>Analysis of hub food network leverage revealed widespread cascading effects on consumption of connected foods (Table 2). Across 11 subgroups, we observed 214 statistically significant mediating pathways. The overwhelming majority (191 pathways, 89%) represented positive associations where high hub consumption associated with cascading increases in connected food consumption; only 23 pathways (11%) showed negative associations reflecting substitution patterns.</w:t>
      </w:r>
    </w:p>
    <w:p w14:paraId="5453D170" w14:textId="77777777" w:rsidR="00A543D4" w:rsidRDefault="00000000">
      <w:pPr>
        <w:spacing w:after="120" w:line="360" w:lineRule="auto"/>
        <w:jc w:val="both"/>
      </w:pPr>
      <w:r>
        <w:t>The mean standardized effect size was β=0.45 (SD=0.23), falling in the moderate-to-large range. Hub foods influenced an average of 4.2 connected foods per subgroup (range: 2-6), demonstrating substantial network-wide leverage.</w:t>
      </w:r>
    </w:p>
    <w:p w14:paraId="2E96893C" w14:textId="77777777" w:rsidR="00A543D4" w:rsidRDefault="00000000">
      <w:pPr>
        <w:spacing w:after="120" w:line="360" w:lineRule="auto"/>
        <w:jc w:val="both"/>
      </w:pPr>
      <w:r>
        <w:rPr>
          <w:b/>
        </w:rPr>
        <w:t>Strongest network leverage effects included:</w:t>
      </w:r>
    </w:p>
    <w:p w14:paraId="601B8A94" w14:textId="77777777" w:rsidR="00A543D4" w:rsidRDefault="00000000">
      <w:pPr>
        <w:spacing w:after="120" w:line="360" w:lineRule="auto"/>
        <w:jc w:val="both"/>
      </w:pPr>
      <w:r>
        <w:t xml:space="preserve">- </w:t>
      </w:r>
      <w:r>
        <w:rPr>
          <w:b/>
        </w:rPr>
        <w:t>Processed foods → sugar-sweetened beverages</w:t>
      </w:r>
      <w:r>
        <w:t xml:space="preserve">: β=+0.90 (95% CI: 0.78, 1.02), P&lt;0.001 </w:t>
      </w:r>
      <w:r>
        <w:rPr>
          <w:i/>
        </w:rPr>
        <w:t>middle-aged male MetS+</w:t>
      </w:r>
    </w:p>
    <w:p w14:paraId="1BA02A0F" w14:textId="77777777" w:rsidR="00A543D4" w:rsidRDefault="00000000">
      <w:pPr>
        <w:spacing w:after="120" w:line="360" w:lineRule="auto"/>
        <w:jc w:val="both"/>
      </w:pPr>
      <w:r>
        <w:t xml:space="preserve">- </w:t>
      </w:r>
      <w:r>
        <w:rPr>
          <w:b/>
        </w:rPr>
        <w:t>Vegetables → protein foods</w:t>
      </w:r>
      <w:r>
        <w:t xml:space="preserve">: β=+1.04 (95% CI: 0.89, 1.19), P&lt;0.001 </w:t>
      </w:r>
      <w:r>
        <w:rPr>
          <w:i/>
        </w:rPr>
        <w:t>young male MetS-</w:t>
      </w:r>
    </w:p>
    <w:p w14:paraId="6A7A3034" w14:textId="77777777" w:rsidR="00A543D4" w:rsidRDefault="00000000">
      <w:pPr>
        <w:spacing w:after="120" w:line="360" w:lineRule="auto"/>
        <w:jc w:val="both"/>
      </w:pPr>
      <w:r>
        <w:lastRenderedPageBreak/>
        <w:t xml:space="preserve">- </w:t>
      </w:r>
      <w:r>
        <w:rPr>
          <w:b/>
        </w:rPr>
        <w:t>Fried foods → high-fat meat</w:t>
      </w:r>
      <w:r>
        <w:t xml:space="preserve">: β=+0.87 (95% CI: 0.73, 1.01), P&lt;0.001 </w:t>
      </w:r>
      <w:r>
        <w:rPr>
          <w:i/>
        </w:rPr>
        <w:t>middle-aged male MetS+</w:t>
      </w:r>
    </w:p>
    <w:p w14:paraId="6C9821EA" w14:textId="77777777" w:rsidR="00A543D4" w:rsidRDefault="00000000">
      <w:pPr>
        <w:spacing w:after="120" w:line="360" w:lineRule="auto"/>
        <w:jc w:val="both"/>
      </w:pPr>
      <w:r>
        <w:t xml:space="preserve">- </w:t>
      </w:r>
      <w:r>
        <w:rPr>
          <w:b/>
        </w:rPr>
        <w:t>Fried foods → processed foods</w:t>
      </w:r>
      <w:r>
        <w:t xml:space="preserve">: β=+0.73 (95% CI: 0.61, 0.85), P&lt;0.001 </w:t>
      </w:r>
      <w:r>
        <w:rPr>
          <w:i/>
        </w:rPr>
        <w:t>middle-aged male MetS+</w:t>
      </w:r>
    </w:p>
    <w:p w14:paraId="235A04D9" w14:textId="77777777" w:rsidR="00A543D4" w:rsidRDefault="00000000">
      <w:pPr>
        <w:spacing w:after="120" w:line="360" w:lineRule="auto"/>
        <w:jc w:val="both"/>
      </w:pPr>
      <w:r>
        <w:t>These effect sizes indicate that individuals with high hub consumption consumed 0.45-1.04 standard deviations more of connected foods, representing substantial practical significance.</w:t>
      </w:r>
    </w:p>
    <w:p w14:paraId="4F78AF74" w14:textId="77777777" w:rsidR="00A543D4" w:rsidRDefault="00000000">
      <w:pPr>
        <w:spacing w:after="120" w:line="360" w:lineRule="auto"/>
        <w:jc w:val="both"/>
      </w:pPr>
      <w:r>
        <w:t>Representative case examples illustrate cascade magnitudes: Among middle-aged male MetS+ individuals, high fried food consumption (vs. low) associated with elevated consumption of high-fat meat (β=+0.87), processed foods (β=+0.73), sugar-sweetened beverages (β=+0.64), protein foods (β=+0.47), and even vegetables (β=+0.33) (all P&lt;0.001), demonstrating that hub foods influence both nutritionally similar and dissimilar food groups.</w:t>
      </w:r>
    </w:p>
    <w:p w14:paraId="63EFDEF0" w14:textId="77777777" w:rsidR="00A543D4" w:rsidRDefault="00000000">
      <w:pPr>
        <w:spacing w:after="120" w:line="360" w:lineRule="auto"/>
        <w:jc w:val="both"/>
      </w:pPr>
      <w:r>
        <w:t>Examples of negative mediation (substitution patterns) emerged in female middle-aged MetS+: high high-fat meat consumption associated not only with elevated processed foods (β=+0.89) and fried foods (β=+0.55), but also with reduced fruit consumption (β=-0.45, P&lt;0.01), illustrating displacement of healthy foods.</w:t>
      </w:r>
    </w:p>
    <w:p w14:paraId="04488950" w14:textId="77777777" w:rsidR="00A543D4" w:rsidRDefault="00000000">
      <w:pPr>
        <w:spacing w:after="120" w:line="360" w:lineRule="auto"/>
        <w:jc w:val="both"/>
      </w:pPr>
      <w:r>
        <w:t>These findings establish hub foods as "leverage points" where modulation of a single food triggers cascading changes across 4-6 connected foods. The predominance of positive mediating effects (89%) suggests that reducing unhealthy hubs can initiate a virtuous cycle wherein other unhealthy foods also decline, while strengthening healthy hubs promotes coordinated increases in nutritious foods.</w:t>
      </w:r>
    </w:p>
    <w:p w14:paraId="6DC879A8" w14:textId="77777777" w:rsidR="00A543D4" w:rsidRDefault="00000000">
      <w:r>
        <w:rPr>
          <w:b/>
          <w:i/>
        </w:rPr>
        <w:t>Health Leverage: Direct Associations Between Hub Foods and Metabolic Indicators</w:t>
      </w:r>
    </w:p>
    <w:p w14:paraId="3EF019B1" w14:textId="77777777" w:rsidR="00A543D4" w:rsidRDefault="00000000">
      <w:pPr>
        <w:spacing w:after="120" w:line="360" w:lineRule="auto"/>
        <w:jc w:val="both"/>
      </w:pPr>
      <w:r>
        <w:t>Hub foods demonstrated substantial direct associations with metabolic health indicators, constituting the second component of the dual leverage mechanism (Table 3).</w:t>
      </w:r>
    </w:p>
    <w:p w14:paraId="1C16784A" w14:textId="77777777" w:rsidR="00A543D4" w:rsidRDefault="00000000">
      <w:pPr>
        <w:spacing w:after="120" w:line="360" w:lineRule="auto"/>
        <w:jc w:val="both"/>
      </w:pPr>
      <w:r>
        <w:rPr>
          <w:b/>
        </w:rPr>
        <w:t>Among MetS- Groups (Prevention Context):</w:t>
      </w:r>
    </w:p>
    <w:p w14:paraId="25117252" w14:textId="77777777" w:rsidR="00A543D4" w:rsidRDefault="00000000">
      <w:pPr>
        <w:spacing w:after="120" w:line="360" w:lineRule="auto"/>
        <w:jc w:val="both"/>
      </w:pPr>
      <w:r>
        <w:t>We observed 26 statistically significant hub-health associations: 15 risk associations (58%; unfavorable metabolic changes) and 11 protective associations (42%; favorable changes).</w:t>
      </w:r>
    </w:p>
    <w:p w14:paraId="295B798D" w14:textId="77777777" w:rsidR="00A543D4" w:rsidRDefault="00000000">
      <w:pPr>
        <w:spacing w:after="120" w:line="360" w:lineRule="auto"/>
        <w:jc w:val="both"/>
      </w:pPr>
      <w:r>
        <w:rPr>
          <w:b/>
        </w:rPr>
        <w:lastRenderedPageBreak/>
        <w:t>Risk hubs</w:t>
      </w:r>
      <w:r>
        <w:t xml:space="preserve"> (processed foods, fried foods) associated with:</w:t>
      </w:r>
    </w:p>
    <w:p w14:paraId="3552CDD2" w14:textId="77777777" w:rsidR="00A543D4" w:rsidRDefault="00000000">
      <w:pPr>
        <w:spacing w:after="120" w:line="360" w:lineRule="auto"/>
        <w:jc w:val="both"/>
      </w:pPr>
      <w:r>
        <w:t>- BMI: +0.27 to +1.12 kg/m² (P&lt;0.001)</w:t>
      </w:r>
    </w:p>
    <w:p w14:paraId="44AEC296" w14:textId="77777777" w:rsidR="00A543D4" w:rsidRDefault="00000000">
      <w:pPr>
        <w:spacing w:after="120" w:line="360" w:lineRule="auto"/>
        <w:jc w:val="both"/>
      </w:pPr>
      <w:r>
        <w:t>- Waist circumference: +0.74 to +1.24 cm (P&lt;0.01)</w:t>
      </w:r>
    </w:p>
    <w:p w14:paraId="7F6BD166" w14:textId="77777777" w:rsidR="00A543D4" w:rsidRDefault="00000000">
      <w:pPr>
        <w:spacing w:after="120" w:line="360" w:lineRule="auto"/>
        <w:jc w:val="both"/>
      </w:pPr>
      <w:r>
        <w:t>- Triglycerides: +7 to +11 mg/dL (P&lt;0.01)</w:t>
      </w:r>
    </w:p>
    <w:p w14:paraId="664D3F3F" w14:textId="77777777" w:rsidR="00A543D4" w:rsidRDefault="00000000">
      <w:pPr>
        <w:spacing w:after="120" w:line="360" w:lineRule="auto"/>
        <w:jc w:val="both"/>
      </w:pPr>
      <w:r>
        <w:rPr>
          <w:b/>
        </w:rPr>
        <w:t>Protective hubs</w:t>
      </w:r>
      <w:r>
        <w:t xml:space="preserve"> (vegetables, protein foods) associated with:</w:t>
      </w:r>
    </w:p>
    <w:p w14:paraId="3C804434" w14:textId="77777777" w:rsidR="00A543D4" w:rsidRDefault="00000000">
      <w:pPr>
        <w:spacing w:after="120" w:line="360" w:lineRule="auto"/>
        <w:jc w:val="both"/>
      </w:pPr>
      <w:r>
        <w:t>- Triglycerides: -7 to -9 mg/dL (P&lt;0.001)</w:t>
      </w:r>
    </w:p>
    <w:p w14:paraId="1FC56372" w14:textId="77777777" w:rsidR="00A543D4" w:rsidRDefault="00000000">
      <w:pPr>
        <w:spacing w:after="120" w:line="360" w:lineRule="auto"/>
        <w:jc w:val="both"/>
      </w:pPr>
      <w:r>
        <w:t>- HDL-cholesterol: +0.93 to +1.81 mg/dL (P&lt;0.05)</w:t>
      </w:r>
    </w:p>
    <w:p w14:paraId="7284DD1C" w14:textId="77777777" w:rsidR="00A543D4" w:rsidRDefault="00000000">
      <w:pPr>
        <w:spacing w:after="120" w:line="360" w:lineRule="auto"/>
        <w:jc w:val="both"/>
      </w:pPr>
      <w:r>
        <w:t>These findings indicate that even among metabolically healthy individuals, unhealthy hub consumption exerts measurable adverse effects, supporting their role as primary prevention targets. Conversely, healthy hub consumption promotes metabolic resilience.</w:t>
      </w:r>
    </w:p>
    <w:p w14:paraId="6E236D0F" w14:textId="77777777" w:rsidR="00A543D4" w:rsidRDefault="00000000">
      <w:pPr>
        <w:spacing w:after="120" w:line="360" w:lineRule="auto"/>
        <w:jc w:val="both"/>
      </w:pPr>
      <w:r>
        <w:rPr>
          <w:b/>
        </w:rPr>
        <w:t>Among MetS+ Groups (Disease Management Context):</w:t>
      </w:r>
    </w:p>
    <w:p w14:paraId="601BDC3F" w14:textId="77777777" w:rsidR="00A543D4" w:rsidRDefault="00000000">
      <w:pPr>
        <w:spacing w:after="120" w:line="360" w:lineRule="auto"/>
        <w:jc w:val="both"/>
      </w:pPr>
      <w:r>
        <w:t>We observed 18 statistically significant associations: 15 deterioration associations (83%; unfavorable changes) and 3 amelioration associations (17%; favorable changes). This skewed distribution reflects heightened metabolic vulnerability in established MetS.</w:t>
      </w:r>
    </w:p>
    <w:p w14:paraId="27DD4A35" w14:textId="77777777" w:rsidR="00A543D4" w:rsidRDefault="00000000">
      <w:pPr>
        <w:spacing w:after="120" w:line="360" w:lineRule="auto"/>
        <w:jc w:val="both"/>
      </w:pPr>
      <w:r>
        <w:rPr>
          <w:b/>
        </w:rPr>
        <w:t>High-risk hubs</w:t>
      </w:r>
      <w:r>
        <w:t xml:space="preserve"> (fried foods, processed foods, refined grains) associated with:</w:t>
      </w:r>
    </w:p>
    <w:p w14:paraId="6F74AD9D" w14:textId="77777777" w:rsidR="00A543D4" w:rsidRDefault="00000000">
      <w:pPr>
        <w:spacing w:after="120" w:line="360" w:lineRule="auto"/>
        <w:jc w:val="both"/>
      </w:pPr>
      <w:r>
        <w:t xml:space="preserve">- BMI: +0.94 to +1.01 kg/m² (P&lt;0.001) </w:t>
      </w:r>
      <w:r>
        <w:rPr>
          <w:i/>
        </w:rPr>
        <w:t>~2× magnitude vs. MetS-</w:t>
      </w:r>
    </w:p>
    <w:p w14:paraId="6A35627C" w14:textId="77777777" w:rsidR="00A543D4" w:rsidRDefault="00000000">
      <w:pPr>
        <w:spacing w:after="120" w:line="360" w:lineRule="auto"/>
        <w:jc w:val="both"/>
      </w:pPr>
      <w:r>
        <w:t xml:space="preserve">- Waist circumference: +2.20 to +2.93 cm (P&lt;0.001) </w:t>
      </w:r>
      <w:r>
        <w:rPr>
          <w:i/>
        </w:rPr>
        <w:t>~2× magnitude vs. MetS-</w:t>
      </w:r>
    </w:p>
    <w:p w14:paraId="1D101208" w14:textId="77777777" w:rsidR="00A543D4" w:rsidRDefault="00000000">
      <w:pPr>
        <w:spacing w:after="120" w:line="360" w:lineRule="auto"/>
        <w:jc w:val="both"/>
      </w:pPr>
      <w:r>
        <w:t xml:space="preserve">- Triglycerides: +25 to +43.4 mg/dL (P&lt;0.01) </w:t>
      </w:r>
      <w:r>
        <w:rPr>
          <w:i/>
        </w:rPr>
        <w:t>~3× magnitude vs. MetS-</w:t>
      </w:r>
    </w:p>
    <w:p w14:paraId="0C906E5D" w14:textId="77777777" w:rsidR="00A543D4" w:rsidRDefault="00000000">
      <w:pPr>
        <w:spacing w:after="120" w:line="360" w:lineRule="auto"/>
        <w:jc w:val="both"/>
      </w:pPr>
      <w:r>
        <w:t>Most striking was refined grain consumption in young male MetS+: triglycerides +43.4 mg/dL (95% CI: 8.2, 78.6), P&lt;0.05—the largest single effect observed.</w:t>
      </w:r>
    </w:p>
    <w:p w14:paraId="1BE694C5" w14:textId="77777777" w:rsidR="00A543D4" w:rsidRDefault="00000000">
      <w:pPr>
        <w:spacing w:after="120" w:line="360" w:lineRule="auto"/>
        <w:jc w:val="both"/>
      </w:pPr>
      <w:r>
        <w:rPr>
          <w:b/>
        </w:rPr>
        <w:t>Effect size amplification in MetS+ versus MetS-:</w:t>
      </w:r>
    </w:p>
    <w:p w14:paraId="77E5F8C5" w14:textId="77777777" w:rsidR="00A543D4" w:rsidRDefault="00000000">
      <w:pPr>
        <w:spacing w:after="120" w:line="360" w:lineRule="auto"/>
        <w:jc w:val="both"/>
      </w:pPr>
      <w:r>
        <w:t xml:space="preserve">Direct comparison revealed that hub foods exerted on average </w:t>
      </w:r>
      <w:r>
        <w:rPr>
          <w:b/>
        </w:rPr>
        <w:t>1.8-fold stronger effects</w:t>
      </w:r>
      <w:r>
        <w:t xml:space="preserve"> on health indicators in MetS+ versus MetS- groups (P=0.011, paired t-test comparing matched hub-indicator pairs). For example, fried food consumption associated with waist circumference +2.9 cm in MetS+ middle-aged males versus +1.2 cm in MetS- counterparts, despite identical covariate adjustment.</w:t>
      </w:r>
    </w:p>
    <w:p w14:paraId="4C85880A" w14:textId="77777777" w:rsidR="00A543D4" w:rsidRDefault="00000000">
      <w:pPr>
        <w:spacing w:after="120" w:line="360" w:lineRule="auto"/>
        <w:jc w:val="both"/>
      </w:pPr>
      <w:r>
        <w:lastRenderedPageBreak/>
        <w:t>This amplification phenomenon suggests individuals with established metabolic dysregulation exhibit heightened dietary susceptibility, making hub food modulation particularly urgent in disease management contexts.</w:t>
      </w:r>
    </w:p>
    <w:p w14:paraId="39C0C5D2" w14:textId="77777777" w:rsidR="00A543D4" w:rsidRDefault="00000000">
      <w:pPr>
        <w:spacing w:after="120" w:line="360" w:lineRule="auto"/>
        <w:jc w:val="both"/>
      </w:pPr>
      <w:r>
        <w:rPr>
          <w:b/>
        </w:rPr>
        <w:t>Bidirectional effects of protein foods:</w:t>
      </w:r>
    </w:p>
    <w:p w14:paraId="3371C921" w14:textId="77777777" w:rsidR="00A543D4" w:rsidRDefault="00000000">
      <w:pPr>
        <w:spacing w:after="120" w:line="360" w:lineRule="auto"/>
        <w:jc w:val="both"/>
      </w:pPr>
      <w:r>
        <w:t>Protein exhibited context-dependent effects: protective in older female MetS+ (HDL-C +2.8 mg/dL, P=0.076), but risk-associated in middle-aged male MetS+ (BMI +0.84 kg/m², P&lt;0.01), likely reflecting consumption of high-fat versus lean protein sources. This heterogeneity underscores the necessity of personalized dietary strategies accounting for demographic-metabolic context.</w:t>
      </w:r>
    </w:p>
    <w:p w14:paraId="2F3DC78A" w14:textId="77777777" w:rsidR="00A543D4" w:rsidRDefault="00000000">
      <w:pPr>
        <w:spacing w:after="120" w:line="360" w:lineRule="auto"/>
        <w:jc w:val="both"/>
      </w:pPr>
      <w:r>
        <w:t>After FDR adjustment, 34/44 associations (77%) remained statistically significant at q&lt;0.05, confirming robustness to multiple testing.</w:t>
      </w:r>
    </w:p>
    <w:p w14:paraId="701CB6B9" w14:textId="77777777" w:rsidR="00A543D4" w:rsidRDefault="00000000">
      <w:r>
        <w:rPr>
          <w:b/>
          <w:i/>
        </w:rPr>
        <w:t>Integrated Dual Leverage Mechanism: Network and Health Pathways</w:t>
      </w:r>
    </w:p>
    <w:p w14:paraId="189ABCE3" w14:textId="77777777" w:rsidR="00A543D4" w:rsidRDefault="00000000">
      <w:pPr>
        <w:spacing w:after="120" w:line="360" w:lineRule="auto"/>
        <w:jc w:val="both"/>
      </w:pPr>
      <w:r>
        <w:t xml:space="preserve">Integration of network-level and health-level analyses reveals a </w:t>
      </w:r>
      <w:r>
        <w:rPr>
          <w:b/>
        </w:rPr>
        <w:t>dual leverage mechanism</w:t>
      </w:r>
      <w:r>
        <w:t xml:space="preserve"> whereby hub food modulation simultaneously influences dietary patterns and metabolic health through two independent yet synergistic pathways (Figure 3):</w:t>
      </w:r>
    </w:p>
    <w:p w14:paraId="034D16AD" w14:textId="77777777" w:rsidR="00A543D4" w:rsidRDefault="00000000">
      <w:pPr>
        <w:spacing w:after="120" w:line="360" w:lineRule="auto"/>
        <w:jc w:val="both"/>
      </w:pPr>
      <w:r>
        <w:rPr>
          <w:b/>
        </w:rPr>
        <w:t>Pathway 1: Network Leverage (Behavioral Level)</w:t>
      </w:r>
    </w:p>
    <w:p w14:paraId="3F6BA5E4" w14:textId="77777777" w:rsidR="00A543D4" w:rsidRDefault="00000000">
      <w:pPr>
        <w:spacing w:after="120" w:line="360" w:lineRule="auto"/>
        <w:jc w:val="both"/>
      </w:pPr>
      <w:r>
        <w:t>Hub modulation → cascading changes in 4-6 connected foods (mean β=0.45; 89% positive associations)</w:t>
      </w:r>
    </w:p>
    <w:p w14:paraId="1FC7FAC4" w14:textId="77777777" w:rsidR="00A543D4" w:rsidRDefault="00000000">
      <w:pPr>
        <w:spacing w:after="120" w:line="360" w:lineRule="auto"/>
        <w:jc w:val="both"/>
      </w:pPr>
      <w:r>
        <w:rPr>
          <w:b/>
        </w:rPr>
        <w:t>Pathway 2: Health Leverage (Physiological Level)</w:t>
      </w:r>
    </w:p>
    <w:p w14:paraId="55EC0100" w14:textId="77777777" w:rsidR="00A543D4" w:rsidRDefault="00000000">
      <w:pPr>
        <w:spacing w:after="120" w:line="360" w:lineRule="auto"/>
        <w:jc w:val="both"/>
      </w:pPr>
      <w:r>
        <w:t>Hub modulation → changes in 2-3 metabolic indicators, with 1.8-fold amplification in MetS+ versus MetS-</w:t>
      </w:r>
    </w:p>
    <w:p w14:paraId="59EF47FF" w14:textId="77777777" w:rsidR="00A543D4" w:rsidRDefault="00000000">
      <w:pPr>
        <w:spacing w:after="120" w:line="360" w:lineRule="auto"/>
        <w:jc w:val="both"/>
      </w:pPr>
      <w:r>
        <w:rPr>
          <w:b/>
        </w:rPr>
        <w:t>Two-Stage Cascade:</w:t>
      </w:r>
    </w:p>
    <w:p w14:paraId="4BA9EA29" w14:textId="77777777" w:rsidR="00A543D4" w:rsidRDefault="00000000">
      <w:pPr>
        <w:spacing w:after="120" w:line="360" w:lineRule="auto"/>
        <w:jc w:val="both"/>
      </w:pPr>
      <w:r>
        <w:t>Hub modulation → dietary pattern improvement (Stage 1) → metabolic health improvement (Stage 2)</w:t>
      </w:r>
    </w:p>
    <w:p w14:paraId="50890FA5" w14:textId="77777777" w:rsidR="00A543D4" w:rsidRDefault="00000000">
      <w:pPr>
        <w:spacing w:after="120" w:line="360" w:lineRule="auto"/>
        <w:jc w:val="both"/>
      </w:pPr>
      <w:r>
        <w:t>This dual leverage provides the mechanistic rationale for hub-focused interventions as an efficient alternative to comprehensive dietary modifications.</w:t>
      </w:r>
    </w:p>
    <w:p w14:paraId="352A043C" w14:textId="77777777" w:rsidR="00A543D4" w:rsidRDefault="00000000">
      <w:pPr>
        <w:spacing w:after="120" w:line="360" w:lineRule="auto"/>
        <w:jc w:val="both"/>
      </w:pPr>
      <w:r>
        <w:rPr>
          <w:b/>
        </w:rPr>
        <w:t>Efficiency Advantage:</w:t>
      </w:r>
    </w:p>
    <w:p w14:paraId="27F13CBA" w14:textId="77777777" w:rsidR="00A543D4" w:rsidRDefault="00000000">
      <w:pPr>
        <w:spacing w:after="120" w:line="360" w:lineRule="auto"/>
        <w:jc w:val="both"/>
      </w:pPr>
      <w:r>
        <w:lastRenderedPageBreak/>
        <w:t xml:space="preserve">Traditional interventions attempt to modify all 12 food groups simultaneously, imposing substantial cognitive load and reducing adherence. Hub-focused interventions target only 3-5 strategic foods, achieving </w:t>
      </w:r>
      <w:r>
        <w:rPr>
          <w:b/>
        </w:rPr>
        <w:t>75% complexity reduction</w:t>
      </w:r>
      <w:r>
        <w:t xml:space="preserve"> (from 12 to 3-5 targets) while maintaining clinical efficacy through dual leverage cascades.</w:t>
      </w:r>
    </w:p>
    <w:p w14:paraId="6CB3779F" w14:textId="77777777" w:rsidR="00A543D4" w:rsidRDefault="00000000">
      <w:pPr>
        <w:spacing w:after="120" w:line="360" w:lineRule="auto"/>
        <w:jc w:val="both"/>
      </w:pPr>
      <w:r>
        <w:rPr>
          <w:b/>
        </w:rPr>
        <w:t>Personalized Strategies Emerging from Stratified Analysis:</w:t>
      </w:r>
    </w:p>
    <w:p w14:paraId="3C00F69D" w14:textId="77777777" w:rsidR="00A543D4" w:rsidRDefault="00000000">
      <w:pPr>
        <w:spacing w:after="120" w:line="360" w:lineRule="auto"/>
        <w:jc w:val="both"/>
      </w:pPr>
      <w:r>
        <w:rPr>
          <w:i/>
        </w:rPr>
        <w:t>Universal Patterns:</w:t>
      </w:r>
      <w:r>
        <w:t xml:space="preserve"> Processed foods and fried foods emerged as universal risk hubs requiring reduction across both MetS- and MetS+ groups.</w:t>
      </w:r>
    </w:p>
    <w:p w14:paraId="0C01B570" w14:textId="77777777" w:rsidR="00A543D4" w:rsidRDefault="00000000">
      <w:pPr>
        <w:spacing w:after="120" w:line="360" w:lineRule="auto"/>
        <w:jc w:val="both"/>
      </w:pPr>
      <w:r>
        <w:rPr>
          <w:i/>
        </w:rPr>
        <w:t>Group-Specific Priorities:</w:t>
      </w:r>
    </w:p>
    <w:p w14:paraId="389A3958" w14:textId="77777777" w:rsidR="00A543D4" w:rsidRDefault="00000000">
      <w:pPr>
        <w:spacing w:after="120" w:line="360" w:lineRule="auto"/>
        <w:jc w:val="both"/>
      </w:pPr>
      <w:r>
        <w:t xml:space="preserve">- </w:t>
      </w:r>
      <w:r>
        <w:rPr>
          <w:b/>
        </w:rPr>
        <w:t>Young male MetS+</w:t>
      </w:r>
      <w:r>
        <w:t>: Prioritize refined grain replacement/reduction (due to +43.4 mg/dL triglyceride association)</w:t>
      </w:r>
    </w:p>
    <w:p w14:paraId="0F96AC87" w14:textId="77777777" w:rsidR="00A543D4" w:rsidRDefault="00000000">
      <w:pPr>
        <w:spacing w:after="120" w:line="360" w:lineRule="auto"/>
        <w:jc w:val="both"/>
      </w:pPr>
      <w:r>
        <w:t xml:space="preserve">- </w:t>
      </w:r>
      <w:r>
        <w:rPr>
          <w:b/>
        </w:rPr>
        <w:t>Middle-aged female MetS+</w:t>
      </w:r>
      <w:r>
        <w:t>: Prioritize fried food elimination (due to 0.455 centrality and +2.9 cm waist association)</w:t>
      </w:r>
    </w:p>
    <w:p w14:paraId="22657C6E" w14:textId="77777777" w:rsidR="00A543D4" w:rsidRDefault="00000000">
      <w:pPr>
        <w:spacing w:after="120" w:line="360" w:lineRule="auto"/>
        <w:jc w:val="both"/>
      </w:pPr>
      <w:r>
        <w:t xml:space="preserve">- </w:t>
      </w:r>
      <w:r>
        <w:rPr>
          <w:b/>
        </w:rPr>
        <w:t>Older male MetS+</w:t>
      </w:r>
      <w:r>
        <w:t>: Prioritize sugar-sweetened beverage elimination and vegetable promotion</w:t>
      </w:r>
    </w:p>
    <w:p w14:paraId="2A634315" w14:textId="77777777" w:rsidR="00A543D4" w:rsidRDefault="00000000">
      <w:pPr>
        <w:spacing w:after="120" w:line="360" w:lineRule="auto"/>
        <w:jc w:val="both"/>
      </w:pPr>
      <w:r>
        <w:t xml:space="preserve">- </w:t>
      </w:r>
      <w:r>
        <w:rPr>
          <w:b/>
        </w:rPr>
        <w:t>Older female MetS+</w:t>
      </w:r>
      <w:r>
        <w:t>: Prioritize grain quality improvement (whole grains vs. refined)</w:t>
      </w:r>
    </w:p>
    <w:p w14:paraId="3D113C2B" w14:textId="77777777" w:rsidR="00A543D4" w:rsidRDefault="00000000">
      <w:pPr>
        <w:spacing w:after="120" w:line="360" w:lineRule="auto"/>
        <w:jc w:val="both"/>
      </w:pPr>
      <w:r>
        <w:rPr>
          <w:i/>
        </w:rPr>
        <w:t>MetS- Groups (Prevention):</w:t>
      </w:r>
      <w:r>
        <w:t xml:space="preserve"> Dual approach—minimize unhealthy hubs (prevent deterioration) + strengthen healthy hubs (build resilience)</w:t>
      </w:r>
    </w:p>
    <w:p w14:paraId="593E18A8" w14:textId="77777777" w:rsidR="00A543D4" w:rsidRDefault="00000000">
      <w:pPr>
        <w:spacing w:after="120" w:line="360" w:lineRule="auto"/>
        <w:jc w:val="both"/>
      </w:pPr>
      <w:r>
        <w:rPr>
          <w:i/>
        </w:rPr>
        <w:t>MetS+ Groups (Management):</w:t>
      </w:r>
      <w:r>
        <w:t xml:space="preserve"> Strict limitation of high-risk hubs given amplified adverse effects (1.8× stronger than MetS-)</w:t>
      </w:r>
    </w:p>
    <w:p w14:paraId="3E44D978" w14:textId="77777777" w:rsidR="00A543D4" w:rsidRDefault="00000000">
      <w:pPr>
        <w:spacing w:after="120" w:line="360" w:lineRule="auto"/>
        <w:jc w:val="both"/>
      </w:pPr>
      <w:r>
        <w:t>These personalized strategies balance universal evidence-based recommendations with critical group-specific priorities, operationalizing the precision nutrition paradigm.</w:t>
      </w:r>
    </w:p>
    <w:p w14:paraId="03AA83C1" w14:textId="77777777" w:rsidR="00A543D4" w:rsidRDefault="00A543D4"/>
    <w:p w14:paraId="463E9B70" w14:textId="77777777" w:rsidR="00A728B8" w:rsidRDefault="00A728B8">
      <w:pPr>
        <w:rPr>
          <w:b/>
          <w:caps/>
          <w:sz w:val="28"/>
        </w:rPr>
      </w:pPr>
      <w:r>
        <w:rPr>
          <w:b/>
          <w:caps/>
          <w:sz w:val="28"/>
        </w:rPr>
        <w:br w:type="page"/>
      </w:r>
    </w:p>
    <w:p w14:paraId="3F8D353E" w14:textId="6FC07B14" w:rsidR="00A543D4" w:rsidRDefault="00000000">
      <w:r>
        <w:rPr>
          <w:b/>
          <w:caps/>
          <w:sz w:val="28"/>
        </w:rPr>
        <w:lastRenderedPageBreak/>
        <w:t>DISCUSSION</w:t>
      </w:r>
    </w:p>
    <w:p w14:paraId="274052DB" w14:textId="77777777" w:rsidR="00A543D4" w:rsidRDefault="00000000">
      <w:r>
        <w:rPr>
          <w:b/>
          <w:i/>
        </w:rPr>
        <w:t>Principal Findings</w:t>
      </w:r>
    </w:p>
    <w:p w14:paraId="69B77266" w14:textId="77777777" w:rsidR="00A543D4" w:rsidRDefault="00000000">
      <w:pPr>
        <w:spacing w:after="120" w:line="360" w:lineRule="auto"/>
        <w:jc w:val="both"/>
      </w:pPr>
      <w:r>
        <w:t>This large-scale, sex-age-MetS-stratified network analysis of 23,040 Korean adults yields four principal findings. First, dietary networks exhibit substantial heterogeneity across demographic-metabolic strata (edge density: 0.152-0.273; modularity: 0.411-0.618), with MetS+ groups showing higher network density and lower modularity, indicative of less structured dietary patterns. Second, hub food identification reveals both universal risk patterns (processed foods in 82% of groups; fried foods in 64%) and critical group-specific hubs requiring tailored interventions—notably refined grains in young male MetS+ (triglycerides +43.4 mg/dL) and fried foods in middle-aged female MetS+ (waist +2.9 cm). Third, hub foods demonstrate dual leverage: network leverage through cascading effects on 4-6 connected foods (mean β=0.45; 89% positive associations), and health leverage through associations with 2-3 metabolic indicators with 1.8-fold effect amplification in MetS+ versus MetS- groups. Fourth, hub-focused interventions achieve 75% complexity reduction versus comprehensive dietary modification while maintaining clinical efficacy, providing empirical foundation for network-informed precision nutrition.</w:t>
      </w:r>
    </w:p>
    <w:p w14:paraId="3DACA0E6" w14:textId="77777777" w:rsidR="00A543D4" w:rsidRDefault="00000000">
      <w:r>
        <w:rPr>
          <w:b/>
          <w:i/>
        </w:rPr>
        <w:t>Methodological Advances and Theoretical Contributions</w:t>
      </w:r>
    </w:p>
    <w:p w14:paraId="22A57C56" w14:textId="77777777" w:rsidR="00A543D4" w:rsidRDefault="00000000">
      <w:pPr>
        <w:spacing w:after="120" w:line="360" w:lineRule="auto"/>
        <w:jc w:val="both"/>
      </w:pPr>
      <w:r>
        <w:t>This study advances dietary pattern methodology in several respects. First, by employing semiparametric Gaussian copula graphical models with cross-validated graphical lasso, we estimate conditional dependencies (partial correlations) that explicitly control for confounding by all other dietary components—a critical advantage over traditional co-occurrence networks that conflate direct and indirect relationships (7, 10). This methodological rigor enables identification of genuine food-food connections suitable for causal interpretation under conditional independence assumptions (11).</w:t>
      </w:r>
    </w:p>
    <w:p w14:paraId="419FAE7B" w14:textId="77777777" w:rsidR="00A543D4" w:rsidRDefault="00000000">
      <w:pPr>
        <w:spacing w:after="120" w:line="360" w:lineRule="auto"/>
        <w:jc w:val="both"/>
      </w:pPr>
      <w:r>
        <w:t xml:space="preserve">Second, our comprehensive stratification by sex, age, and MetS status addresses a major limitation of previous dietary network studies that analyzed populations as homogeneous entities (12-14). The substantial heterogeneity we observe in network structure (30% edge count variation), hub identity (only 2/22 universal hubs), and hub effect sizes (1.8-fold amplification in MetS+) demonstrates that population-level analyses obscure </w:t>
      </w:r>
      <w:r>
        <w:lastRenderedPageBreak/>
        <w:t>clinically important subgroup patterns—a critical insight for personalized nutrition (15, 16).</w:t>
      </w:r>
    </w:p>
    <w:p w14:paraId="25F58A37" w14:textId="77777777" w:rsidR="00A543D4" w:rsidRDefault="00000000">
      <w:pPr>
        <w:spacing w:after="120" w:line="360" w:lineRule="auto"/>
        <w:jc w:val="both"/>
      </w:pPr>
      <w:r>
        <w:t xml:space="preserve">Third, we provide the first empirical characterization of the </w:t>
      </w:r>
      <w:r>
        <w:rPr>
          <w:b/>
        </w:rPr>
        <w:t>dual leverage mechanism</w:t>
      </w:r>
      <w:r>
        <w:t>, quantifying both network-level cascades (hub→connected foods; 214 pathways analyzed) and health-level associations (hub→metabolic indicators; 44 associations tested). Previous dietary network studies described topology without explicitly linking hub foods to behavioral cascades or clinical outcomes (12-14). Our dual leverage framework provides the mechanistic basis for hub-focused interventions, bridging network science and clinical nutrition.</w:t>
      </w:r>
    </w:p>
    <w:p w14:paraId="57C4182D" w14:textId="77777777" w:rsidR="00A543D4" w:rsidRDefault="00000000">
      <w:pPr>
        <w:spacing w:after="120" w:line="360" w:lineRule="auto"/>
        <w:jc w:val="both"/>
      </w:pPr>
      <w:r>
        <w:t xml:space="preserve">Fourth, the identification of </w:t>
      </w:r>
      <w:r>
        <w:rPr>
          <w:b/>
        </w:rPr>
        <w:t>effect amplification in MetS+ groups</w:t>
      </w:r>
      <w:r>
        <w:t xml:space="preserve"> (1.8-fold stronger hub-health associations versus MetS-) has important theoretical implications: it suggests that individuals with metabolic dysregulation exhibit heightened dietary susceptibility, potentially due to impaired metabolic flexibility, insulin resistance, or altered gut microbiota composition (39, 40). This amplification phenomenon underscores the urgency of dietary intervention in established MetS and suggests that the same dietary changes yield greater clinical benefits in high-risk populations—a consideration for intervention targeting and resource allocation.</w:t>
      </w:r>
    </w:p>
    <w:p w14:paraId="18E05908" w14:textId="77777777" w:rsidR="00A543D4" w:rsidRDefault="00000000">
      <w:r>
        <w:rPr>
          <w:b/>
          <w:i/>
        </w:rPr>
        <w:t>Comparison with Previous Dietary Network Studies</w:t>
      </w:r>
    </w:p>
    <w:p w14:paraId="71C443D9" w14:textId="77777777" w:rsidR="00A543D4" w:rsidRDefault="00000000">
      <w:pPr>
        <w:spacing w:after="120" w:line="360" w:lineRule="auto"/>
        <w:jc w:val="both"/>
      </w:pPr>
      <w:r>
        <w:t>Our findings extend previous applications of GGM to dietary epidemiology in several ways. Behrens et al. (12) applied GGM to identify meal-specific networks in the European Prospective Investigation into Cancer and Nutrition (EPIC) cohort, demonstrating distinct breakfast, lunch, and dinner networks. However, their analysis did not stratify by health status or quantify hub food effects on clinical outcomes. Cortés-Albornoz et al. (13) used GGM to characterize habitual dietary networks in a Spanish cohort, identifying "Mediterranean" and "Western" pattern communities. Yet, they analyzed the population as a single entity without demographic stratification.</w:t>
      </w:r>
    </w:p>
    <w:p w14:paraId="116BC1AA" w14:textId="77777777" w:rsidR="00A543D4" w:rsidRDefault="00000000">
      <w:pPr>
        <w:spacing w:after="120" w:line="360" w:lineRule="auto"/>
        <w:jc w:val="both"/>
      </w:pPr>
      <w:r>
        <w:t xml:space="preserve">Our study advances this literature by: (1) implementing comprehensive sex-age-MetS stratification, revealing systematic heterogeneity; (2) quantifying dual leverage (network and health pathways); (3) demonstrating effect amplification in MetS+; (4) identifying actionable group-specific hubs for personalized interventions. The 75% complexity </w:t>
      </w:r>
      <w:r>
        <w:lastRenderedPageBreak/>
        <w:t>reduction we document (12 foods → 3-5 hubs) provides a pragmatic framework for translating network insights into clinical practice—a translational step absent in prior studies.</w:t>
      </w:r>
    </w:p>
    <w:p w14:paraId="6DF14489" w14:textId="77777777" w:rsidR="00A543D4" w:rsidRDefault="00000000">
      <w:pPr>
        <w:spacing w:after="120" w:line="360" w:lineRule="auto"/>
        <w:jc w:val="both"/>
      </w:pPr>
      <w:r>
        <w:t>Regarding hub food identities, our finding that processed foods and fried foods dominate as universal risk hubs aligns with extensive epidemiologic evidence linking ultra-processed food consumption to obesity, MetS, and cardiometabolic disease (41, 42). The protective role of protein foods in MetS- groups is consistent with protein's established benefits for satiety, glycemic control, and body composition (43). However, the context-dependent effects of protein in MetS+ groups—protective in older females but risk-associated in middle-aged males—highlight the importance of protein source quality (lean vs. fatty) and the need for nuanced, personalized protein recommendations (44).</w:t>
      </w:r>
    </w:p>
    <w:p w14:paraId="5BDF3B4C" w14:textId="77777777" w:rsidR="00A543D4" w:rsidRDefault="00000000">
      <w:r>
        <w:rPr>
          <w:b/>
          <w:i/>
        </w:rPr>
        <w:t>Clinical Implications and Precision Nutrition Applications</w:t>
      </w:r>
    </w:p>
    <w:p w14:paraId="1DF2B24C" w14:textId="77777777" w:rsidR="00A543D4" w:rsidRDefault="00000000">
      <w:pPr>
        <w:spacing w:after="120" w:line="360" w:lineRule="auto"/>
        <w:jc w:val="both"/>
      </w:pPr>
      <w:r>
        <w:t>Our findings have immediate clinical applications across three domains:</w:t>
      </w:r>
    </w:p>
    <w:p w14:paraId="02AEBF5E" w14:textId="77777777" w:rsidR="00A543D4" w:rsidRDefault="00000000">
      <w:pPr>
        <w:spacing w:after="120" w:line="360" w:lineRule="auto"/>
        <w:jc w:val="both"/>
      </w:pPr>
      <w:r>
        <w:rPr>
          <w:b/>
        </w:rPr>
        <w:t>1. Clinical Counseling:</w:t>
      </w:r>
    </w:p>
    <w:p w14:paraId="04F01DA4" w14:textId="77777777" w:rsidR="00A543D4" w:rsidRDefault="00000000">
      <w:pPr>
        <w:spacing w:after="120" w:line="360" w:lineRule="auto"/>
        <w:jc w:val="both"/>
      </w:pPr>
      <w:r>
        <w:t>Rather than overwhelming patients with comprehensive dietary overhauls (modifying all 12 food groups), clinicians can deliver focused, evidence-based recommendations targeting 3-5 group-specific hubs. For example:</w:t>
      </w:r>
    </w:p>
    <w:p w14:paraId="0AADE1AB" w14:textId="77777777" w:rsidR="00A543D4" w:rsidRDefault="00000000">
      <w:pPr>
        <w:spacing w:after="120" w:line="360" w:lineRule="auto"/>
        <w:jc w:val="both"/>
      </w:pPr>
      <w:r>
        <w:t xml:space="preserve">- </w:t>
      </w:r>
      <w:r>
        <w:rPr>
          <w:i/>
        </w:rPr>
        <w:t>Young male MetS+ patient</w:t>
      </w:r>
      <w:r>
        <w:t>: "Prioritize replacing refined grains (white bread, white rice) with whole grain alternatives to reduce triglycerides."</w:t>
      </w:r>
    </w:p>
    <w:p w14:paraId="4BB7135D" w14:textId="77777777" w:rsidR="00A543D4" w:rsidRDefault="00000000">
      <w:pPr>
        <w:spacing w:after="120" w:line="360" w:lineRule="auto"/>
        <w:jc w:val="both"/>
      </w:pPr>
      <w:r>
        <w:t xml:space="preserve">- </w:t>
      </w:r>
      <w:r>
        <w:rPr>
          <w:i/>
        </w:rPr>
        <w:t>Middle-aged female MetS+ patient</w:t>
      </w:r>
      <w:r>
        <w:t>: "Eliminate fried foods, which are strongly connected to your overall unhealthy dietary pattern and associated with increased waist circumference."</w:t>
      </w:r>
    </w:p>
    <w:p w14:paraId="496EBC7B" w14:textId="77777777" w:rsidR="00A543D4" w:rsidRDefault="00000000">
      <w:pPr>
        <w:spacing w:after="120" w:line="360" w:lineRule="auto"/>
        <w:jc w:val="both"/>
      </w:pPr>
      <w:r>
        <w:t>This hub-focused approach enhances patient comprehension, reduces implementation barriers, and improves adherence—critical determinants of long-term behavioral change (45). The 75% complexity reduction we document represents a substantial enhancement in intervention feasibility.</w:t>
      </w:r>
    </w:p>
    <w:p w14:paraId="38419F50" w14:textId="77777777" w:rsidR="00A543D4" w:rsidRDefault="00000000">
      <w:pPr>
        <w:spacing w:after="120" w:line="360" w:lineRule="auto"/>
        <w:jc w:val="both"/>
      </w:pPr>
      <w:r>
        <w:rPr>
          <w:b/>
        </w:rPr>
        <w:t>2. Digital Health Platforms:</w:t>
      </w:r>
    </w:p>
    <w:p w14:paraId="488997BA" w14:textId="77777777" w:rsidR="00A543D4" w:rsidRDefault="00000000">
      <w:pPr>
        <w:spacing w:after="120" w:line="360" w:lineRule="auto"/>
        <w:jc w:val="both"/>
      </w:pPr>
      <w:r>
        <w:lastRenderedPageBreak/>
        <w:t>Our group-specific hub identification enables development of personalized nutrition algorithms for mobile health applications. A digital health platform could:</w:t>
      </w:r>
    </w:p>
    <w:p w14:paraId="618EA857" w14:textId="77777777" w:rsidR="00A543D4" w:rsidRDefault="00000000">
      <w:pPr>
        <w:spacing w:after="120" w:line="360" w:lineRule="auto"/>
        <w:jc w:val="both"/>
      </w:pPr>
      <w:r>
        <w:t>- Input: User demographic-metabolic profile (sex, age, MetS status from health screening data)</w:t>
      </w:r>
    </w:p>
    <w:p w14:paraId="38DCEF6B" w14:textId="77777777" w:rsidR="00A543D4" w:rsidRDefault="00000000">
      <w:pPr>
        <w:spacing w:after="120" w:line="360" w:lineRule="auto"/>
        <w:jc w:val="both"/>
      </w:pPr>
      <w:r>
        <w:t>- Algorithm: Match user to 1 of 11 subgroups → retrieve group-specific hubs and effect sizes</w:t>
      </w:r>
    </w:p>
    <w:p w14:paraId="0ED99F3C" w14:textId="77777777" w:rsidR="00A543D4" w:rsidRDefault="00000000">
      <w:pPr>
        <w:spacing w:after="120" w:line="360" w:lineRule="auto"/>
        <w:jc w:val="both"/>
      </w:pPr>
      <w:r>
        <w:t>- Output: Prioritized dietary recommendations with expected clinical benefits</w:t>
      </w:r>
    </w:p>
    <w:p w14:paraId="4DBE7F96" w14:textId="77777777" w:rsidR="00A543D4" w:rsidRDefault="00000000">
      <w:pPr>
        <w:spacing w:after="120" w:line="360" w:lineRule="auto"/>
        <w:jc w:val="both"/>
      </w:pPr>
      <w:r>
        <w:t>For example, a 45-year-old male with MetS would receive a tailored recommendation to reduce fried foods (expected waist reduction: -2.5 cm) and processed foods (expected triglyceride reduction: -25 mg/dL). This data-driven personalization moves beyond generic dietary advice, operationalizing the precision nutrition paradigm (21, 22).</w:t>
      </w:r>
    </w:p>
    <w:p w14:paraId="20317F93" w14:textId="77777777" w:rsidR="00A543D4" w:rsidRDefault="00000000">
      <w:pPr>
        <w:spacing w:after="120" w:line="360" w:lineRule="auto"/>
        <w:jc w:val="both"/>
      </w:pPr>
      <w:r>
        <w:rPr>
          <w:b/>
        </w:rPr>
        <w:t>3. Public Health Policy:</w:t>
      </w:r>
    </w:p>
    <w:p w14:paraId="25F7FB54" w14:textId="77777777" w:rsidR="00A543D4" w:rsidRDefault="00000000">
      <w:pPr>
        <w:spacing w:after="120" w:line="360" w:lineRule="auto"/>
        <w:jc w:val="both"/>
      </w:pPr>
      <w:r>
        <w:t>Our findings inform targeted population health interventions. Rather than uniform dietary campaigns, public health authorities can design group-specific initiatives:</w:t>
      </w:r>
    </w:p>
    <w:p w14:paraId="35717F96" w14:textId="77777777" w:rsidR="00A543D4" w:rsidRDefault="00000000">
      <w:pPr>
        <w:spacing w:after="120" w:line="360" w:lineRule="auto"/>
        <w:jc w:val="both"/>
      </w:pPr>
      <w:r>
        <w:t xml:space="preserve">- </w:t>
      </w:r>
      <w:r>
        <w:rPr>
          <w:i/>
        </w:rPr>
        <w:t>Young adults (20-39 y)</w:t>
      </w:r>
      <w:r>
        <w:t>: Campaigns targeting processed foods and fried foods (universal risk hubs in this demographic)</w:t>
      </w:r>
    </w:p>
    <w:p w14:paraId="5E386E90" w14:textId="77777777" w:rsidR="00A543D4" w:rsidRDefault="00000000">
      <w:pPr>
        <w:spacing w:after="120" w:line="360" w:lineRule="auto"/>
        <w:jc w:val="both"/>
      </w:pPr>
      <w:r>
        <w:t xml:space="preserve">- </w:t>
      </w:r>
      <w:r>
        <w:rPr>
          <w:i/>
        </w:rPr>
        <w:t>Middle-aged adults with MetS (40-59 y)</w:t>
      </w:r>
      <w:r>
        <w:t>: Intensive fried food reduction programs given amplified effects in this group</w:t>
      </w:r>
    </w:p>
    <w:p w14:paraId="35F678AF" w14:textId="77777777" w:rsidR="00A543D4" w:rsidRDefault="00000000">
      <w:pPr>
        <w:spacing w:after="120" w:line="360" w:lineRule="auto"/>
        <w:jc w:val="both"/>
      </w:pPr>
      <w:r>
        <w:t xml:space="preserve">- </w:t>
      </w:r>
      <w:r>
        <w:rPr>
          <w:i/>
        </w:rPr>
        <w:t>Older adults (60-79 y)</w:t>
      </w:r>
      <w:r>
        <w:t>: Grain quality improvement initiatives (whole grain promotion) and sodium reduction campaigns</w:t>
      </w:r>
    </w:p>
    <w:p w14:paraId="4B809A67" w14:textId="77777777" w:rsidR="00A543D4" w:rsidRDefault="00000000">
      <w:pPr>
        <w:spacing w:after="120" w:line="360" w:lineRule="auto"/>
        <w:jc w:val="both"/>
      </w:pPr>
      <w:r>
        <w:t>Such targeted approaches optimize resource allocation by focusing interventions where they yield the greatest population health impact.</w:t>
      </w:r>
    </w:p>
    <w:p w14:paraId="1FB0508A" w14:textId="77777777" w:rsidR="00A543D4" w:rsidRDefault="00000000">
      <w:r>
        <w:rPr>
          <w:b/>
          <w:i/>
        </w:rPr>
        <w:t>Strengths and Limitations</w:t>
      </w:r>
    </w:p>
    <w:p w14:paraId="4A0E7FEB" w14:textId="77777777" w:rsidR="00A543D4" w:rsidRDefault="00000000">
      <w:pPr>
        <w:spacing w:after="120" w:line="360" w:lineRule="auto"/>
        <w:jc w:val="both"/>
      </w:pPr>
      <w:r>
        <w:rPr>
          <w:b/>
        </w:rPr>
        <w:t>Strengths</w:t>
      </w:r>
      <w:r>
        <w:t xml:space="preserve"> include: (1) large sample size (n=23,040) enabling robust stratified analyses; (2) comprehensive demographic-metabolic stratification revealing heterogeneity obscured in population-level analyses; (3) methodologically rigorous GGM with cross-validated regularization; (4) quantification of dual leverage mechanism linking network </w:t>
      </w:r>
      <w:r>
        <w:lastRenderedPageBreak/>
        <w:t>topology to behavioral and clinical outcomes; (5) validated FFQ with acceptable reproducibility and validity; (6) extensive covariate adjustment in all association analyses.</w:t>
      </w:r>
    </w:p>
    <w:p w14:paraId="294E46A5" w14:textId="77777777" w:rsidR="00A543D4" w:rsidRDefault="00000000">
      <w:pPr>
        <w:spacing w:after="120" w:line="360" w:lineRule="auto"/>
        <w:jc w:val="both"/>
      </w:pPr>
      <w:r>
        <w:rPr>
          <w:b/>
        </w:rPr>
        <w:t>Limitations</w:t>
      </w:r>
      <w:r>
        <w:t xml:space="preserve"> warrant consideration. First, the </w:t>
      </w:r>
      <w:r>
        <w:rPr>
          <w:b/>
        </w:rPr>
        <w:t>cross-sectional design</w:t>
      </w:r>
      <w:r>
        <w:t xml:space="preserve"> precludes causal inference. While GGM estimates conditional dependencies suitable for causal interpretation under assumptions (conditional independence given measured foods), unmeasured confounders (e.g., socioeconomic factors not fully captured, food environment, cultural practices) may bias estimates. Longitudinal studies tracking dietary network evolution and prospective interventions targeting hub foods are needed to establish causality. Second, </w:t>
      </w:r>
      <w:r>
        <w:rPr>
          <w:b/>
        </w:rPr>
        <w:t>dietary assessment via FFQ</w:t>
      </w:r>
      <w:r>
        <w:t xml:space="preserve"> introduces measurement error, though validation studies demonstrate acceptable performance (26). Emerging technologies (smartphone-based dietary assessment, metabolomics-based objective biomarkers) may enhance precision (46). Third, </w:t>
      </w:r>
      <w:r>
        <w:rPr>
          <w:b/>
        </w:rPr>
        <w:t>generalizability beyond Korean adults</w:t>
      </w:r>
      <w:r>
        <w:t xml:space="preserve"> requires investigation. While biological mechanisms (dietary cascades, metabolic effects) likely generalize, specific hub food identities may differ across cultures with distinct food systems and dietary traditions. Replication in diverse populations (Western, African, Latin American) is warranted. Fourth, our </w:t>
      </w:r>
      <w:r>
        <w:rPr>
          <w:b/>
        </w:rPr>
        <w:t>12-food group aggregation</w:t>
      </w:r>
      <w:r>
        <w:t xml:space="preserve"> balances granularity against statistical power, but may obscure within-group heterogeneity (e.g., fatty vs. lean protein; refined vs. whole grains). Future studies with more detailed FFQs could construct finer-grained networks. Fifth, </w:t>
      </w:r>
      <w:r>
        <w:rPr>
          <w:b/>
        </w:rPr>
        <w:t>residual confounding</w:t>
      </w:r>
      <w:r>
        <w:t xml:space="preserve"> remains possible despite extensive covariate adjustment; unmeasured factors (stress, sleep, medication effects beyond binary indicators) may influence both diet and metabolic health. Sixth, the </w:t>
      </w:r>
      <w:r>
        <w:rPr>
          <w:b/>
        </w:rPr>
        <w:t>young female MetS+ exclusion</w:t>
      </w:r>
      <w:r>
        <w:t xml:space="preserve"> (n=76, insufficient power) limits generalizability to this demographic—though this group's small size reflects genuinely low MetS prevalence in young women, and available data suggest their networks resemble young male MetS+ patterns (refined grain hubs).</w:t>
      </w:r>
    </w:p>
    <w:p w14:paraId="3AF8ED7A" w14:textId="77777777" w:rsidR="00A543D4" w:rsidRDefault="00000000">
      <w:r>
        <w:rPr>
          <w:b/>
          <w:i/>
        </w:rPr>
        <w:t>Future Research Directions</w:t>
      </w:r>
    </w:p>
    <w:p w14:paraId="7ABB2A5F" w14:textId="77777777" w:rsidR="00A543D4" w:rsidRDefault="00000000">
      <w:pPr>
        <w:spacing w:after="120" w:line="360" w:lineRule="auto"/>
        <w:jc w:val="both"/>
      </w:pPr>
      <w:r>
        <w:t xml:space="preserve">Several research avenues warrant pursuit. First, </w:t>
      </w:r>
      <w:r>
        <w:rPr>
          <w:b/>
        </w:rPr>
        <w:t>prospective cohort studies</w:t>
      </w:r>
      <w:r>
        <w:t xml:space="preserve"> tracking dietary network evolution over time would enable assessment of temporal stability, identification of network transitions preceding MetS development, and estimation of causal effects using longitudinal mediation analysis. Second, </w:t>
      </w:r>
      <w:r>
        <w:rPr>
          <w:b/>
        </w:rPr>
        <w:t xml:space="preserve">randomized controlled </w:t>
      </w:r>
      <w:r>
        <w:rPr>
          <w:b/>
        </w:rPr>
        <w:lastRenderedPageBreak/>
        <w:t>trials</w:t>
      </w:r>
      <w:r>
        <w:t xml:space="preserve"> testing hub-focused versus comprehensive dietary interventions would provide definitive evidence of comparative efficacy, adherence, and cost-effectiveness. Such trials could employ adaptive designs allocating participants to personalized hub-focused arms versus standard care. Third, </w:t>
      </w:r>
      <w:r>
        <w:rPr>
          <w:b/>
        </w:rPr>
        <w:t>integration of omics data</w:t>
      </w:r>
      <w:r>
        <w:t xml:space="preserve"> (metabolomics, gut microbiomics, genomics) with dietary networks would illuminate biological mechanisms underlying hub food effects. For example, metabolomics could identify metabolite mediators linking fried food consumption to metabolic dysregulation; microbiomics could reveal gut microbial shifts explaining dietary cascade effects. Fourth, </w:t>
      </w:r>
      <w:r>
        <w:rPr>
          <w:b/>
        </w:rPr>
        <w:t>extension to other populations and cultures</w:t>
      </w:r>
      <w:r>
        <w:t xml:space="preserve"> would assess generalizability and identify culture-specific versus universal hub patterns. Comparative network analysis across populations could inform globally applicable versus locally tailored recommendations. Fifth, </w:t>
      </w:r>
      <w:r>
        <w:rPr>
          <w:b/>
        </w:rPr>
        <w:t>finer-grained food-level networks</w:t>
      </w:r>
      <w:r>
        <w:t xml:space="preserve"> (e.g., 50-100 food items rather than 12 groups) would enhance intervention precision, though requiring larger samples for stable sparse estimation. Sixth, </w:t>
      </w:r>
      <w:r>
        <w:rPr>
          <w:b/>
        </w:rPr>
        <w:t>machine learning approaches</w:t>
      </w:r>
      <w:r>
        <w:t xml:space="preserve"> (e.g., Bayesian networks, conditional random fields) could complement GGM, potentially capturing non-linear relationships or higher-order interactions. Finally, </w:t>
      </w:r>
      <w:r>
        <w:rPr>
          <w:b/>
        </w:rPr>
        <w:t>implementation science studies</w:t>
      </w:r>
      <w:r>
        <w:t xml:space="preserve"> evaluating real-world deployment of hub-focused interventions in clinical and community settings would identify barriers, facilitators, and optimal delivery modalities (digital vs. in-person counseling, individual vs. group-based).</w:t>
      </w:r>
    </w:p>
    <w:p w14:paraId="79558288" w14:textId="77777777" w:rsidR="00A543D4" w:rsidRDefault="00000000">
      <w:r>
        <w:rPr>
          <w:b/>
          <w:i/>
        </w:rPr>
        <w:t>Conclusions</w:t>
      </w:r>
    </w:p>
    <w:p w14:paraId="2FCDB4D0" w14:textId="7614611B" w:rsidR="00A543D4" w:rsidRDefault="00000000" w:rsidP="00A728B8">
      <w:pPr>
        <w:spacing w:after="120" w:line="360" w:lineRule="auto"/>
        <w:jc w:val="both"/>
      </w:pPr>
      <w:r>
        <w:t xml:space="preserve">This comprehensive sex-age-MetS-stratified network analysis of 23,040 Korean adults demonstrates that Gaussian graphical models reveal heterogeneous dietary network structures with hub foods exerting dual leverage on both dietary patterns (network leverage via cascades affecting 4-6 connected foods) and metabolic health (health leverage with 1.8-fold effect amplification in MetS+ groups). Hub-focused dietary interventions targeting 3-5 strategic foods tailored to demographic-metabolic profiles offer a scientifically rigorous, efficient approach to precision nutrition, achieving 75% complexity reduction versus comprehensive dietary modification while maintaining clinical efficacy. This paradigm shift from "change everything" to "change strategic hubs" enhances intervention feasibility, adherence potential, and personalization precision. Our findings provide the empirical foundation for network-informed precision </w:t>
      </w:r>
      <w:r>
        <w:lastRenderedPageBreak/>
        <w:t>nutrition with direct applications in clinical counseling (targeted dietary advice), digital health platforms (algorithmic personalized recommendations), and public health policy (group-specific campaigns). Future research directions include prospective cohort studies, randomized hub-focused intervention trials, omics integration to elucidate mechanisms, cross-cultural replication, and implementation science evaluations. Ultimately, by integrating network science with nutritional epidemiology and clinical practice, this work advances the vision of data-driven, personalized dietary strategies that optimize metabolic health outcomes while respecting the complexity and individuality of human dietary behaviors.</w:t>
      </w:r>
    </w:p>
    <w:p w14:paraId="019E4CDC" w14:textId="77777777" w:rsidR="00A543D4" w:rsidRDefault="00A543D4"/>
    <w:p w14:paraId="5D87F0BC" w14:textId="77777777" w:rsidR="00A728B8" w:rsidRDefault="00A728B8">
      <w:pPr>
        <w:rPr>
          <w:b/>
          <w:caps/>
          <w:sz w:val="28"/>
        </w:rPr>
      </w:pPr>
      <w:r>
        <w:rPr>
          <w:b/>
          <w:caps/>
          <w:sz w:val="28"/>
        </w:rPr>
        <w:br w:type="page"/>
      </w:r>
    </w:p>
    <w:p w14:paraId="30F7375D" w14:textId="6ADDE430" w:rsidR="00A543D4" w:rsidRDefault="00000000">
      <w:r>
        <w:rPr>
          <w:b/>
          <w:caps/>
          <w:sz w:val="28"/>
        </w:rPr>
        <w:lastRenderedPageBreak/>
        <w:t>ACKNOWLEDGMENTS</w:t>
      </w:r>
    </w:p>
    <w:p w14:paraId="1713C168" w14:textId="77777777" w:rsidR="00A543D4" w:rsidRDefault="00000000">
      <w:pPr>
        <w:spacing w:after="120" w:line="360" w:lineRule="auto"/>
        <w:jc w:val="both"/>
      </w:pPr>
      <w:r>
        <w:t>The authors gratefully acknowledge the participants of the H-PEACE study for their invaluable contributions. We thank the clinical staff at Seoul National University Hospital Healthcare System Gangnam Center for data collection and management.</w:t>
      </w:r>
    </w:p>
    <w:p w14:paraId="6BEF70DB" w14:textId="77777777" w:rsidR="00A543D4" w:rsidRDefault="00000000">
      <w:pPr>
        <w:spacing w:after="120" w:line="360" w:lineRule="auto"/>
        <w:jc w:val="both"/>
      </w:pPr>
      <w:r>
        <w:rPr>
          <w:b/>
        </w:rPr>
        <w:t>Author contributions:</w:t>
      </w:r>
      <w:r>
        <w:t xml:space="preserve"> </w:t>
      </w:r>
      <w:r>
        <w:rPr>
          <w:i/>
        </w:rPr>
        <w:t>To be completed based on actual contributions</w:t>
      </w:r>
    </w:p>
    <w:p w14:paraId="5BC98159" w14:textId="77777777" w:rsidR="00A543D4" w:rsidRDefault="00000000">
      <w:pPr>
        <w:spacing w:after="120" w:line="360" w:lineRule="auto"/>
        <w:jc w:val="both"/>
      </w:pPr>
      <w:r>
        <w:rPr>
          <w:b/>
        </w:rPr>
        <w:t>Conflict of interest:</w:t>
      </w:r>
      <w:r>
        <w:t xml:space="preserve"> The authors declare no conflicts of interest.</w:t>
      </w:r>
    </w:p>
    <w:p w14:paraId="5C741842" w14:textId="77777777" w:rsidR="00A543D4" w:rsidRDefault="00000000">
      <w:pPr>
        <w:spacing w:after="120" w:line="360" w:lineRule="auto"/>
        <w:jc w:val="both"/>
      </w:pPr>
      <w:r>
        <w:rPr>
          <w:b/>
        </w:rPr>
        <w:t>Funding:</w:t>
      </w:r>
      <w:r>
        <w:t xml:space="preserve"> </w:t>
      </w:r>
      <w:r>
        <w:rPr>
          <w:i/>
        </w:rPr>
        <w:t>To be completed based on actual funding sources</w:t>
      </w:r>
    </w:p>
    <w:p w14:paraId="6CD38F83" w14:textId="77777777" w:rsidR="00A543D4" w:rsidRDefault="00000000">
      <w:pPr>
        <w:spacing w:after="120" w:line="360" w:lineRule="auto"/>
        <w:jc w:val="both"/>
      </w:pPr>
      <w:r>
        <w:rPr>
          <w:b/>
        </w:rPr>
        <w:t>Data availability:</w:t>
      </w:r>
      <w:r>
        <w:t xml:space="preserve"> Data described in the manuscript will be made available upon reasonable request pending institutional review board approval.</w:t>
      </w:r>
    </w:p>
    <w:p w14:paraId="17C58EC9" w14:textId="77777777" w:rsidR="00A543D4" w:rsidRDefault="00A543D4"/>
    <w:p w14:paraId="7FBF9F7A" w14:textId="1071BAB5" w:rsidR="00A543D4" w:rsidRDefault="00000000" w:rsidP="00A728B8">
      <w:r>
        <w:rPr>
          <w:b/>
          <w:caps/>
          <w:sz w:val="28"/>
        </w:rPr>
        <w:t>REFERENCES</w:t>
      </w:r>
    </w:p>
    <w:sectPr w:rsidR="00A543D4"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1A26D" w14:textId="77777777" w:rsidR="0013510E" w:rsidRDefault="0013510E">
      <w:pPr>
        <w:spacing w:after="0" w:line="240" w:lineRule="auto"/>
      </w:pPr>
      <w:r>
        <w:separator/>
      </w:r>
    </w:p>
  </w:endnote>
  <w:endnote w:type="continuationSeparator" w:id="0">
    <w:p w14:paraId="26F0EEF0" w14:textId="77777777" w:rsidR="0013510E" w:rsidRDefault="00135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6AF5" w14:textId="77777777" w:rsidR="00A543D4" w:rsidRDefault="00000000">
    <w:pPr>
      <w:pStyle w:val="a6"/>
      <w:jc w:val="center"/>
    </w:pPr>
    <w: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6E613" w14:textId="77777777" w:rsidR="0013510E" w:rsidRDefault="0013510E">
      <w:pPr>
        <w:spacing w:after="0" w:line="240" w:lineRule="auto"/>
      </w:pPr>
      <w:r>
        <w:separator/>
      </w:r>
    </w:p>
  </w:footnote>
  <w:footnote w:type="continuationSeparator" w:id="0">
    <w:p w14:paraId="5D18FFE3" w14:textId="77777777" w:rsidR="0013510E" w:rsidRDefault="00135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6638950">
    <w:abstractNumId w:val="8"/>
  </w:num>
  <w:num w:numId="2" w16cid:durableId="206256913">
    <w:abstractNumId w:val="6"/>
  </w:num>
  <w:num w:numId="3" w16cid:durableId="1006515650">
    <w:abstractNumId w:val="5"/>
  </w:num>
  <w:num w:numId="4" w16cid:durableId="1244954187">
    <w:abstractNumId w:val="4"/>
  </w:num>
  <w:num w:numId="5" w16cid:durableId="432213561">
    <w:abstractNumId w:val="7"/>
  </w:num>
  <w:num w:numId="6" w16cid:durableId="901479473">
    <w:abstractNumId w:val="3"/>
  </w:num>
  <w:num w:numId="7" w16cid:durableId="1691833328">
    <w:abstractNumId w:val="2"/>
  </w:num>
  <w:num w:numId="8" w16cid:durableId="1865826675">
    <w:abstractNumId w:val="1"/>
  </w:num>
  <w:num w:numId="9" w16cid:durableId="112384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10E"/>
    <w:rsid w:val="0015074B"/>
    <w:rsid w:val="0029639D"/>
    <w:rsid w:val="00326F90"/>
    <w:rsid w:val="0069574A"/>
    <w:rsid w:val="00A543D4"/>
    <w:rsid w:val="00A728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0DB85"/>
  <w14:defaultImageDpi w14:val="300"/>
  <w15:docId w15:val="{01F99FBB-1752-F547-B4F1-B5D464062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27</Pages>
  <Words>7712</Words>
  <Characters>43959</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희정 황</cp:lastModifiedBy>
  <cp:revision>2</cp:revision>
  <dcterms:created xsi:type="dcterms:W3CDTF">2013-12-23T23:15:00Z</dcterms:created>
  <dcterms:modified xsi:type="dcterms:W3CDTF">2025-12-01T14:19:00Z</dcterms:modified>
  <cp:category/>
</cp:coreProperties>
</file>