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Dietary Network Analysis: Figures and Tables</w:t>
      </w:r>
    </w:p>
    <w:p>
      <w:pPr>
        <w:jc w:val="center"/>
      </w:pPr>
      <w:r>
        <w:rPr>
          <w:i/>
          <w:color w:val="404040"/>
          <w:sz w:val="24"/>
        </w:rPr>
        <w:t>Option 3 Configuration: Academic Networks with Hub Analysis</w:t>
      </w:r>
    </w:p>
    <w:p/>
    <w:p>
      <w:pPr>
        <w:pStyle w:val="Heading1"/>
        <w:jc w:val="left"/>
      </w:pPr>
      <w:r>
        <w:t>Main Text Figures</w:t>
      </w:r>
    </w:p>
    <w:p>
      <w:pPr>
        <w:pStyle w:val="Heading2"/>
      </w:pPr>
      <w:r>
        <w:t>Figure 5. Dietary Preference Networks Across Stratified Groups</w:t>
      </w:r>
    </w:p>
    <w:p>
      <w:pPr>
        <w:jc w:val="center"/>
      </w:pPr>
      <w:r>
        <w:drawing>
          <wp:inline xmlns:a="http://schemas.openxmlformats.org/drawingml/2006/main" xmlns:pic="http://schemas.openxmlformats.org/drawingml/2006/picture">
            <wp:extent cx="5943600" cy="6034355"/>
            <wp:docPr id="1" name="Picture 1"/>
            <wp:cNvGraphicFramePr>
              <a:graphicFrameLocks noChangeAspect="1"/>
            </wp:cNvGraphicFramePr>
            <a:graphic>
              <a:graphicData uri="http://schemas.openxmlformats.org/drawingml/2006/picture">
                <pic:pic>
                  <pic:nvPicPr>
                    <pic:cNvPr id="0" name="Figure5_Academic_Networks.png"/>
                    <pic:cNvPicPr/>
                  </pic:nvPicPr>
                  <pic:blipFill>
                    <a:blip r:embed="rId9"/>
                    <a:stretch>
                      <a:fillRect/>
                    </a:stretch>
                  </pic:blipFill>
                  <pic:spPr>
                    <a:xfrm>
                      <a:off x="0" y="0"/>
                      <a:ext cx="5943600" cy="6034355"/>
                    </a:xfrm>
                    <a:prstGeom prst="rect"/>
                  </pic:spPr>
                </pic:pic>
              </a:graphicData>
            </a:graphic>
          </wp:inline>
        </w:drawing>
      </w:r>
    </w:p>
    <w:p>
      <w:pPr>
        <w:jc w:val="left"/>
      </w:pPr>
      <w:r>
        <w:rPr>
          <w:i/>
          <w:sz w:val="20"/>
        </w:rPr>
        <w:t>Figure 5. Network visualization of dietary preferences across four representative stratified groups. Nodes represent food categories, edges represent significant partial correlations (conditional dependencies). Node size reflects degree centrality (number of connections), node color intensity indicates centrality strength. Edge width represents the strength of partial correlation. Networks were estimated using Semiparametric Gaussian Copula Graphical Models (SGCGM) with graphical lasso regularization.</w:t>
      </w:r>
    </w:p>
    <w:p/>
    <w:p>
      <w:r>
        <w:br w:type="page"/>
      </w:r>
    </w:p>
    <w:p>
      <w:pPr>
        <w:pStyle w:val="Heading2"/>
      </w:pPr>
      <w:r>
        <w:t>Figure 2. Hub Food Categories Across Population Subgroups</w:t>
      </w:r>
    </w:p>
    <w:p>
      <w:pPr>
        <w:jc w:val="center"/>
      </w:pPr>
      <w:r>
        <w:drawing>
          <wp:inline xmlns:a="http://schemas.openxmlformats.org/drawingml/2006/main" xmlns:pic="http://schemas.openxmlformats.org/drawingml/2006/picture">
            <wp:extent cx="5943600" cy="3543338"/>
            <wp:docPr id="2" name="Picture 2"/>
            <wp:cNvGraphicFramePr>
              <a:graphicFrameLocks noChangeAspect="1"/>
            </wp:cNvGraphicFramePr>
            <a:graphic>
              <a:graphicData uri="http://schemas.openxmlformats.org/drawingml/2006/picture">
                <pic:pic>
                  <pic:nvPicPr>
                    <pic:cNvPr id="0" name="Figure2_Hub_Frequency.png"/>
                    <pic:cNvPicPr/>
                  </pic:nvPicPr>
                  <pic:blipFill>
                    <a:blip r:embed="rId10"/>
                    <a:stretch>
                      <a:fillRect/>
                    </a:stretch>
                  </pic:blipFill>
                  <pic:spPr>
                    <a:xfrm>
                      <a:off x="0" y="0"/>
                      <a:ext cx="5943600" cy="3543338"/>
                    </a:xfrm>
                    <a:prstGeom prst="rect"/>
                  </pic:spPr>
                </pic:pic>
              </a:graphicData>
            </a:graphic>
          </wp:inline>
        </w:drawing>
      </w:r>
    </w:p>
    <w:p>
      <w:pPr>
        <w:jc w:val="left"/>
      </w:pPr>
      <w:r>
        <w:rPr>
          <w:i/>
          <w:sz w:val="20"/>
        </w:rPr>
        <w:t>Figure 2. Frequency of hub food categories across 11 stratified population groups. Hub foods are defined as nodes with degree centrality ≥6 connections. Processed foods and fried foods emerge as universal structural hubs, appearing in 90.9% and 81.8% of all groups respectively, despite not showing the strongest pairwise correlations.</w:t>
      </w:r>
    </w:p>
    <w:p/>
    <w:p>
      <w:r>
        <w:br w:type="page"/>
      </w:r>
    </w:p>
    <w:p>
      <w:pPr>
        <w:pStyle w:val="Heading1"/>
        <w:jc w:val="left"/>
      </w:pPr>
      <w:r>
        <w:t>Tables</w:t>
      </w:r>
    </w:p>
    <w:p>
      <w:pPr>
        <w:pStyle w:val="Heading2"/>
        <w:jc w:val="left"/>
      </w:pPr>
      <w:r>
        <w:t>Table 1. Network Topology Characteristics by Stratified Groups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b/>
                <w:sz w:val="20"/>
              </w:rPr>
              <w:t>Group_ID</w:t>
            </w:r>
          </w:p>
        </w:tc>
        <w:tc>
          <w:tcPr>
            <w:tcW w:type="dxa" w:w="1170"/>
          </w:tcPr>
          <w:p>
            <w:pPr>
              <w:jc w:val="center"/>
            </w:pPr>
            <w:r>
              <w:rPr>
                <w:b/>
                <w:sz w:val="20"/>
              </w:rPr>
              <w:t>Sex</w:t>
            </w:r>
          </w:p>
        </w:tc>
        <w:tc>
          <w:tcPr>
            <w:tcW w:type="dxa" w:w="1170"/>
          </w:tcPr>
          <w:p>
            <w:pPr>
              <w:jc w:val="center"/>
            </w:pPr>
            <w:r>
              <w:rPr>
                <w:b/>
                <w:sz w:val="20"/>
              </w:rPr>
              <w:t>Age_Group</w:t>
            </w:r>
          </w:p>
        </w:tc>
        <w:tc>
          <w:tcPr>
            <w:tcW w:type="dxa" w:w="1170"/>
          </w:tcPr>
          <w:p>
            <w:pPr>
              <w:jc w:val="center"/>
            </w:pPr>
            <w:r>
              <w:rPr>
                <w:b/>
                <w:sz w:val="20"/>
              </w:rPr>
              <w:t>MetS_Status</w:t>
            </w:r>
          </w:p>
        </w:tc>
        <w:tc>
          <w:tcPr>
            <w:tcW w:type="dxa" w:w="1170"/>
          </w:tcPr>
          <w:p>
            <w:pPr>
              <w:jc w:val="center"/>
            </w:pPr>
            <w:r>
              <w:rPr>
                <w:b/>
                <w:sz w:val="20"/>
              </w:rPr>
              <w:t>Sample_Size</w:t>
            </w:r>
          </w:p>
        </w:tc>
        <w:tc>
          <w:tcPr>
            <w:tcW w:type="dxa" w:w="1170"/>
          </w:tcPr>
          <w:p>
            <w:pPr>
              <w:jc w:val="center"/>
            </w:pPr>
            <w:r>
              <w:rPr>
                <w:b/>
                <w:sz w:val="20"/>
              </w:rPr>
              <w:t>Edges</w:t>
            </w:r>
          </w:p>
        </w:tc>
        <w:tc>
          <w:tcPr>
            <w:tcW w:type="dxa" w:w="1170"/>
          </w:tcPr>
          <w:p>
            <w:pPr>
              <w:jc w:val="center"/>
            </w:pPr>
            <w:r>
              <w:rPr>
                <w:b/>
                <w:sz w:val="20"/>
              </w:rPr>
              <w:t>Density (%)</w:t>
            </w:r>
          </w:p>
        </w:tc>
        <w:tc>
          <w:tcPr>
            <w:tcW w:type="dxa" w:w="1170"/>
          </w:tcPr>
          <w:p>
            <w:pPr>
              <w:jc w:val="center"/>
            </w:pPr>
            <w:r>
              <w:rPr>
                <w:b/>
                <w:sz w:val="20"/>
              </w:rPr>
              <w:t>Alpha (α)</w:t>
            </w:r>
          </w:p>
        </w:tc>
      </w:tr>
      <w:tr>
        <w:tc>
          <w:tcPr>
            <w:tcW w:type="dxa" w:w="1170"/>
          </w:tcPr>
          <w:p>
            <w:r>
              <w:rPr>
                <w:sz w:val="18"/>
              </w:rPr>
              <w:t>1</w:t>
            </w:r>
          </w:p>
        </w:tc>
        <w:tc>
          <w:tcPr>
            <w:tcW w:type="dxa" w:w="1170"/>
          </w:tcPr>
          <w:p>
            <w:r>
              <w:rPr>
                <w:sz w:val="18"/>
              </w:rPr>
              <w:t>남성</w:t>
            </w:r>
          </w:p>
        </w:tc>
        <w:tc>
          <w:tcPr>
            <w:tcW w:type="dxa" w:w="1170"/>
          </w:tcPr>
          <w:p>
            <w:r>
              <w:rPr>
                <w:sz w:val="18"/>
              </w:rPr>
              <w:t>청년층(19-39세)</w:t>
            </w:r>
          </w:p>
        </w:tc>
        <w:tc>
          <w:tcPr>
            <w:tcW w:type="dxa" w:w="1170"/>
          </w:tcPr>
          <w:p>
            <w:r>
              <w:rPr>
                <w:sz w:val="18"/>
              </w:rPr>
              <w:t>MetS(+)</w:t>
            </w:r>
          </w:p>
        </w:tc>
        <w:tc>
          <w:tcPr>
            <w:tcW w:type="dxa" w:w="1170"/>
          </w:tcPr>
          <w:p>
            <w:r>
              <w:rPr>
                <w:sz w:val="18"/>
              </w:rPr>
              <w:t>516</w:t>
            </w:r>
          </w:p>
        </w:tc>
        <w:tc>
          <w:tcPr>
            <w:tcW w:type="dxa" w:w="1170"/>
          </w:tcPr>
          <w:p>
            <w:r>
              <w:rPr>
                <w:sz w:val="18"/>
              </w:rPr>
              <w:t>8</w:t>
            </w:r>
          </w:p>
        </w:tc>
        <w:tc>
          <w:tcPr>
            <w:tcW w:type="dxa" w:w="1170"/>
          </w:tcPr>
          <w:p>
            <w:r>
              <w:rPr>
                <w:sz w:val="18"/>
              </w:rPr>
              <w:t>12.1</w:t>
            </w:r>
          </w:p>
        </w:tc>
        <w:tc>
          <w:tcPr>
            <w:tcW w:type="dxa" w:w="1170"/>
          </w:tcPr>
          <w:p>
            <w:r>
              <w:rPr>
                <w:sz w:val="18"/>
              </w:rPr>
              <w:t>0.124</w:t>
            </w:r>
          </w:p>
        </w:tc>
      </w:tr>
      <w:tr>
        <w:tc>
          <w:tcPr>
            <w:tcW w:type="dxa" w:w="1170"/>
          </w:tcPr>
          <w:p>
            <w:r>
              <w:rPr>
                <w:sz w:val="18"/>
              </w:rPr>
              <w:t>2</w:t>
            </w:r>
          </w:p>
        </w:tc>
        <w:tc>
          <w:tcPr>
            <w:tcW w:type="dxa" w:w="1170"/>
          </w:tcPr>
          <w:p>
            <w:r>
              <w:rPr>
                <w:sz w:val="18"/>
              </w:rPr>
              <w:t>남성</w:t>
            </w:r>
          </w:p>
        </w:tc>
        <w:tc>
          <w:tcPr>
            <w:tcW w:type="dxa" w:w="1170"/>
          </w:tcPr>
          <w:p>
            <w:r>
              <w:rPr>
                <w:sz w:val="18"/>
              </w:rPr>
              <w:t>청년층(19-39세)</w:t>
            </w:r>
          </w:p>
        </w:tc>
        <w:tc>
          <w:tcPr>
            <w:tcW w:type="dxa" w:w="1170"/>
          </w:tcPr>
          <w:p>
            <w:r>
              <w:rPr>
                <w:sz w:val="18"/>
              </w:rPr>
              <w:t>MetS(-)</w:t>
            </w:r>
          </w:p>
        </w:tc>
        <w:tc>
          <w:tcPr>
            <w:tcW w:type="dxa" w:w="1170"/>
          </w:tcPr>
          <w:p>
            <w:r>
              <w:rPr>
                <w:sz w:val="18"/>
              </w:rPr>
              <w:t>1963</w:t>
            </w:r>
          </w:p>
        </w:tc>
        <w:tc>
          <w:tcPr>
            <w:tcW w:type="dxa" w:w="1170"/>
          </w:tcPr>
          <w:p>
            <w:r>
              <w:rPr>
                <w:sz w:val="18"/>
              </w:rPr>
              <w:t>9</w:t>
            </w:r>
          </w:p>
        </w:tc>
        <w:tc>
          <w:tcPr>
            <w:tcW w:type="dxa" w:w="1170"/>
          </w:tcPr>
          <w:p>
            <w:r>
              <w:rPr>
                <w:sz w:val="18"/>
              </w:rPr>
              <w:t>13.6</w:t>
            </w:r>
          </w:p>
        </w:tc>
        <w:tc>
          <w:tcPr>
            <w:tcW w:type="dxa" w:w="1170"/>
          </w:tcPr>
          <w:p>
            <w:r>
              <w:rPr>
                <w:sz w:val="18"/>
              </w:rPr>
              <w:t>0.124</w:t>
            </w:r>
          </w:p>
        </w:tc>
      </w:tr>
      <w:tr>
        <w:tc>
          <w:tcPr>
            <w:tcW w:type="dxa" w:w="1170"/>
          </w:tcPr>
          <w:p>
            <w:r>
              <w:rPr>
                <w:sz w:val="18"/>
              </w:rPr>
              <w:t>3</w:t>
            </w:r>
          </w:p>
        </w:tc>
        <w:tc>
          <w:tcPr>
            <w:tcW w:type="dxa" w:w="1170"/>
          </w:tcPr>
          <w:p>
            <w:r>
              <w:rPr>
                <w:sz w:val="18"/>
              </w:rPr>
              <w:t>남성</w:t>
            </w:r>
          </w:p>
        </w:tc>
        <w:tc>
          <w:tcPr>
            <w:tcW w:type="dxa" w:w="1170"/>
          </w:tcPr>
          <w:p>
            <w:r>
              <w:rPr>
                <w:sz w:val="18"/>
              </w:rPr>
              <w:t>중년층(40-59세)</w:t>
            </w:r>
          </w:p>
        </w:tc>
        <w:tc>
          <w:tcPr>
            <w:tcW w:type="dxa" w:w="1170"/>
          </w:tcPr>
          <w:p>
            <w:r>
              <w:rPr>
                <w:sz w:val="18"/>
              </w:rPr>
              <w:t>MetS(+)</w:t>
            </w:r>
          </w:p>
        </w:tc>
        <w:tc>
          <w:tcPr>
            <w:tcW w:type="dxa" w:w="1170"/>
          </w:tcPr>
          <w:p>
            <w:r>
              <w:rPr>
                <w:sz w:val="18"/>
              </w:rPr>
              <w:t>2938</w:t>
            </w:r>
          </w:p>
        </w:tc>
        <w:tc>
          <w:tcPr>
            <w:tcW w:type="dxa" w:w="1170"/>
          </w:tcPr>
          <w:p>
            <w:r>
              <w:rPr>
                <w:sz w:val="18"/>
              </w:rPr>
              <w:t>8</w:t>
            </w:r>
          </w:p>
        </w:tc>
        <w:tc>
          <w:tcPr>
            <w:tcW w:type="dxa" w:w="1170"/>
          </w:tcPr>
          <w:p>
            <w:r>
              <w:rPr>
                <w:sz w:val="18"/>
              </w:rPr>
              <w:t>12.1</w:t>
            </w:r>
          </w:p>
        </w:tc>
        <w:tc>
          <w:tcPr>
            <w:tcW w:type="dxa" w:w="1170"/>
          </w:tcPr>
          <w:p>
            <w:r>
              <w:rPr>
                <w:sz w:val="18"/>
              </w:rPr>
              <w:t>0.124</w:t>
            </w:r>
          </w:p>
        </w:tc>
      </w:tr>
      <w:tr>
        <w:tc>
          <w:tcPr>
            <w:tcW w:type="dxa" w:w="1170"/>
          </w:tcPr>
          <w:p>
            <w:r>
              <w:rPr>
                <w:sz w:val="18"/>
              </w:rPr>
              <w:t>4</w:t>
            </w:r>
          </w:p>
        </w:tc>
        <w:tc>
          <w:tcPr>
            <w:tcW w:type="dxa" w:w="1170"/>
          </w:tcPr>
          <w:p>
            <w:r>
              <w:rPr>
                <w:sz w:val="18"/>
              </w:rPr>
              <w:t>남성</w:t>
            </w:r>
          </w:p>
        </w:tc>
        <w:tc>
          <w:tcPr>
            <w:tcW w:type="dxa" w:w="1170"/>
          </w:tcPr>
          <w:p>
            <w:r>
              <w:rPr>
                <w:sz w:val="18"/>
              </w:rPr>
              <w:t>중년층(40-59세)</w:t>
            </w:r>
          </w:p>
        </w:tc>
        <w:tc>
          <w:tcPr>
            <w:tcW w:type="dxa" w:w="1170"/>
          </w:tcPr>
          <w:p>
            <w:r>
              <w:rPr>
                <w:sz w:val="18"/>
              </w:rPr>
              <w:t>MetS(-)</w:t>
            </w:r>
          </w:p>
        </w:tc>
        <w:tc>
          <w:tcPr>
            <w:tcW w:type="dxa" w:w="1170"/>
          </w:tcPr>
          <w:p>
            <w:r>
              <w:rPr>
                <w:sz w:val="18"/>
              </w:rPr>
              <w:t>4737</w:t>
            </w:r>
          </w:p>
        </w:tc>
        <w:tc>
          <w:tcPr>
            <w:tcW w:type="dxa" w:w="1170"/>
          </w:tcPr>
          <w:p>
            <w:r>
              <w:rPr>
                <w:sz w:val="18"/>
              </w:rPr>
              <w:t>7</w:t>
            </w:r>
          </w:p>
        </w:tc>
        <w:tc>
          <w:tcPr>
            <w:tcW w:type="dxa" w:w="1170"/>
          </w:tcPr>
          <w:p>
            <w:r>
              <w:rPr>
                <w:sz w:val="18"/>
              </w:rPr>
              <w:t>10.6</w:t>
            </w:r>
          </w:p>
        </w:tc>
        <w:tc>
          <w:tcPr>
            <w:tcW w:type="dxa" w:w="1170"/>
          </w:tcPr>
          <w:p>
            <w:r>
              <w:rPr>
                <w:sz w:val="18"/>
              </w:rPr>
              <w:t>0.124</w:t>
            </w:r>
          </w:p>
        </w:tc>
      </w:tr>
      <w:tr>
        <w:tc>
          <w:tcPr>
            <w:tcW w:type="dxa" w:w="1170"/>
          </w:tcPr>
          <w:p>
            <w:r>
              <w:rPr>
                <w:sz w:val="18"/>
              </w:rPr>
              <w:t>5</w:t>
            </w:r>
          </w:p>
        </w:tc>
        <w:tc>
          <w:tcPr>
            <w:tcW w:type="dxa" w:w="1170"/>
          </w:tcPr>
          <w:p>
            <w:r>
              <w:rPr>
                <w:sz w:val="18"/>
              </w:rPr>
              <w:t>남성</w:t>
            </w:r>
          </w:p>
        </w:tc>
        <w:tc>
          <w:tcPr>
            <w:tcW w:type="dxa" w:w="1170"/>
          </w:tcPr>
          <w:p>
            <w:r>
              <w:rPr>
                <w:sz w:val="18"/>
              </w:rPr>
              <w:t>장년층(60-74세)</w:t>
            </w:r>
          </w:p>
        </w:tc>
        <w:tc>
          <w:tcPr>
            <w:tcW w:type="dxa" w:w="1170"/>
          </w:tcPr>
          <w:p>
            <w:r>
              <w:rPr>
                <w:sz w:val="18"/>
              </w:rPr>
              <w:t>MetS(+)</w:t>
            </w:r>
          </w:p>
        </w:tc>
        <w:tc>
          <w:tcPr>
            <w:tcW w:type="dxa" w:w="1170"/>
          </w:tcPr>
          <w:p>
            <w:r>
              <w:rPr>
                <w:sz w:val="18"/>
              </w:rPr>
              <w:t>971</w:t>
            </w:r>
          </w:p>
        </w:tc>
        <w:tc>
          <w:tcPr>
            <w:tcW w:type="dxa" w:w="1170"/>
          </w:tcPr>
          <w:p>
            <w:r>
              <w:rPr>
                <w:sz w:val="18"/>
              </w:rPr>
              <w:t>6</w:t>
            </w:r>
          </w:p>
        </w:tc>
        <w:tc>
          <w:tcPr>
            <w:tcW w:type="dxa" w:w="1170"/>
          </w:tcPr>
          <w:p>
            <w:r>
              <w:rPr>
                <w:sz w:val="18"/>
              </w:rPr>
              <w:t>9.1</w:t>
            </w:r>
          </w:p>
        </w:tc>
        <w:tc>
          <w:tcPr>
            <w:tcW w:type="dxa" w:w="1170"/>
          </w:tcPr>
          <w:p>
            <w:r>
              <w:rPr>
                <w:sz w:val="18"/>
              </w:rPr>
              <w:t>0.164</w:t>
            </w:r>
          </w:p>
        </w:tc>
      </w:tr>
      <w:tr>
        <w:tc>
          <w:tcPr>
            <w:tcW w:type="dxa" w:w="1170"/>
          </w:tcPr>
          <w:p>
            <w:r>
              <w:rPr>
                <w:sz w:val="18"/>
              </w:rPr>
              <w:t>6</w:t>
            </w:r>
          </w:p>
        </w:tc>
        <w:tc>
          <w:tcPr>
            <w:tcW w:type="dxa" w:w="1170"/>
          </w:tcPr>
          <w:p>
            <w:r>
              <w:rPr>
                <w:sz w:val="18"/>
              </w:rPr>
              <w:t>남성</w:t>
            </w:r>
          </w:p>
        </w:tc>
        <w:tc>
          <w:tcPr>
            <w:tcW w:type="dxa" w:w="1170"/>
          </w:tcPr>
          <w:p>
            <w:r>
              <w:rPr>
                <w:sz w:val="18"/>
              </w:rPr>
              <w:t>장년층(60-74세)</w:t>
            </w:r>
          </w:p>
        </w:tc>
        <w:tc>
          <w:tcPr>
            <w:tcW w:type="dxa" w:w="1170"/>
          </w:tcPr>
          <w:p>
            <w:r>
              <w:rPr>
                <w:sz w:val="18"/>
              </w:rPr>
              <w:t>MetS(-)</w:t>
            </w:r>
          </w:p>
        </w:tc>
        <w:tc>
          <w:tcPr>
            <w:tcW w:type="dxa" w:w="1170"/>
          </w:tcPr>
          <w:p>
            <w:r>
              <w:rPr>
                <w:sz w:val="18"/>
              </w:rPr>
              <w:t>1169</w:t>
            </w:r>
          </w:p>
        </w:tc>
        <w:tc>
          <w:tcPr>
            <w:tcW w:type="dxa" w:w="1170"/>
          </w:tcPr>
          <w:p>
            <w:r>
              <w:rPr>
                <w:sz w:val="18"/>
              </w:rPr>
              <w:t>6</w:t>
            </w:r>
          </w:p>
        </w:tc>
        <w:tc>
          <w:tcPr>
            <w:tcW w:type="dxa" w:w="1170"/>
          </w:tcPr>
          <w:p>
            <w:r>
              <w:rPr>
                <w:sz w:val="18"/>
              </w:rPr>
              <w:t>9.1</w:t>
            </w:r>
          </w:p>
        </w:tc>
        <w:tc>
          <w:tcPr>
            <w:tcW w:type="dxa" w:w="1170"/>
          </w:tcPr>
          <w:p>
            <w:r>
              <w:rPr>
                <w:sz w:val="18"/>
              </w:rPr>
              <w:t>0.164</w:t>
            </w:r>
          </w:p>
        </w:tc>
      </w:tr>
      <w:tr>
        <w:tc>
          <w:tcPr>
            <w:tcW w:type="dxa" w:w="1170"/>
          </w:tcPr>
          <w:p>
            <w:r>
              <w:rPr>
                <w:sz w:val="18"/>
              </w:rPr>
              <w:t>7</w:t>
            </w:r>
          </w:p>
        </w:tc>
        <w:tc>
          <w:tcPr>
            <w:tcW w:type="dxa" w:w="1170"/>
          </w:tcPr>
          <w:p>
            <w:r>
              <w:rPr>
                <w:sz w:val="18"/>
              </w:rPr>
              <w:t>여성</w:t>
            </w:r>
          </w:p>
        </w:tc>
        <w:tc>
          <w:tcPr>
            <w:tcW w:type="dxa" w:w="1170"/>
          </w:tcPr>
          <w:p>
            <w:r>
              <w:rPr>
                <w:sz w:val="18"/>
              </w:rPr>
              <w:t>청년층(19-39세)</w:t>
            </w:r>
          </w:p>
        </w:tc>
        <w:tc>
          <w:tcPr>
            <w:tcW w:type="dxa" w:w="1170"/>
          </w:tcPr>
          <w:p>
            <w:r>
              <w:rPr>
                <w:sz w:val="18"/>
              </w:rPr>
              <w:t>MetS(-)</w:t>
            </w:r>
          </w:p>
        </w:tc>
        <w:tc>
          <w:tcPr>
            <w:tcW w:type="dxa" w:w="1170"/>
          </w:tcPr>
          <w:p>
            <w:r>
              <w:rPr>
                <w:sz w:val="18"/>
              </w:rPr>
              <w:t>2519</w:t>
            </w:r>
          </w:p>
        </w:tc>
        <w:tc>
          <w:tcPr>
            <w:tcW w:type="dxa" w:w="1170"/>
          </w:tcPr>
          <w:p>
            <w:r>
              <w:rPr>
                <w:sz w:val="18"/>
              </w:rPr>
              <w:t>5</w:t>
            </w:r>
          </w:p>
        </w:tc>
        <w:tc>
          <w:tcPr>
            <w:tcW w:type="dxa" w:w="1170"/>
          </w:tcPr>
          <w:p>
            <w:r>
              <w:rPr>
                <w:sz w:val="18"/>
              </w:rPr>
              <w:t>7.6</w:t>
            </w:r>
          </w:p>
        </w:tc>
        <w:tc>
          <w:tcPr>
            <w:tcW w:type="dxa" w:w="1170"/>
          </w:tcPr>
          <w:p>
            <w:r>
              <w:rPr>
                <w:sz w:val="18"/>
              </w:rPr>
              <w:t>0.164</w:t>
            </w:r>
          </w:p>
        </w:tc>
      </w:tr>
      <w:tr>
        <w:tc>
          <w:tcPr>
            <w:tcW w:type="dxa" w:w="1170"/>
          </w:tcPr>
          <w:p>
            <w:r>
              <w:rPr>
                <w:sz w:val="18"/>
              </w:rPr>
              <w:t>8</w:t>
            </w:r>
          </w:p>
        </w:tc>
        <w:tc>
          <w:tcPr>
            <w:tcW w:type="dxa" w:w="1170"/>
          </w:tcPr>
          <w:p>
            <w:r>
              <w:rPr>
                <w:sz w:val="18"/>
              </w:rPr>
              <w:t>여성</w:t>
            </w:r>
          </w:p>
        </w:tc>
        <w:tc>
          <w:tcPr>
            <w:tcW w:type="dxa" w:w="1170"/>
          </w:tcPr>
          <w:p>
            <w:r>
              <w:rPr>
                <w:sz w:val="18"/>
              </w:rPr>
              <w:t>중년층(40-59세)</w:t>
            </w:r>
          </w:p>
        </w:tc>
        <w:tc>
          <w:tcPr>
            <w:tcW w:type="dxa" w:w="1170"/>
          </w:tcPr>
          <w:p>
            <w:r>
              <w:rPr>
                <w:sz w:val="18"/>
              </w:rPr>
              <w:t>MetS(+)</w:t>
            </w:r>
          </w:p>
        </w:tc>
        <w:tc>
          <w:tcPr>
            <w:tcW w:type="dxa" w:w="1170"/>
          </w:tcPr>
          <w:p>
            <w:r>
              <w:rPr>
                <w:sz w:val="18"/>
              </w:rPr>
              <w:t>758</w:t>
            </w:r>
          </w:p>
        </w:tc>
        <w:tc>
          <w:tcPr>
            <w:tcW w:type="dxa" w:w="1170"/>
          </w:tcPr>
          <w:p>
            <w:r>
              <w:rPr>
                <w:sz w:val="18"/>
              </w:rPr>
              <w:t>7</w:t>
            </w:r>
          </w:p>
        </w:tc>
        <w:tc>
          <w:tcPr>
            <w:tcW w:type="dxa" w:w="1170"/>
          </w:tcPr>
          <w:p>
            <w:r>
              <w:rPr>
                <w:sz w:val="18"/>
              </w:rPr>
              <w:t>10.6</w:t>
            </w:r>
          </w:p>
        </w:tc>
        <w:tc>
          <w:tcPr>
            <w:tcW w:type="dxa" w:w="1170"/>
          </w:tcPr>
          <w:p>
            <w:r>
              <w:rPr>
                <w:sz w:val="18"/>
              </w:rPr>
              <w:t>0.124</w:t>
            </w:r>
          </w:p>
        </w:tc>
      </w:tr>
      <w:tr>
        <w:tc>
          <w:tcPr>
            <w:tcW w:type="dxa" w:w="1170"/>
          </w:tcPr>
          <w:p>
            <w:r>
              <w:rPr>
                <w:sz w:val="18"/>
              </w:rPr>
              <w:t>9</w:t>
            </w:r>
          </w:p>
        </w:tc>
        <w:tc>
          <w:tcPr>
            <w:tcW w:type="dxa" w:w="1170"/>
          </w:tcPr>
          <w:p>
            <w:r>
              <w:rPr>
                <w:sz w:val="18"/>
              </w:rPr>
              <w:t>여성</w:t>
            </w:r>
          </w:p>
        </w:tc>
        <w:tc>
          <w:tcPr>
            <w:tcW w:type="dxa" w:w="1170"/>
          </w:tcPr>
          <w:p>
            <w:r>
              <w:rPr>
                <w:sz w:val="18"/>
              </w:rPr>
              <w:t>중년층(40-59세)</w:t>
            </w:r>
          </w:p>
        </w:tc>
        <w:tc>
          <w:tcPr>
            <w:tcW w:type="dxa" w:w="1170"/>
          </w:tcPr>
          <w:p>
            <w:r>
              <w:rPr>
                <w:sz w:val="18"/>
              </w:rPr>
              <w:t>MetS(-)</w:t>
            </w:r>
          </w:p>
        </w:tc>
        <w:tc>
          <w:tcPr>
            <w:tcW w:type="dxa" w:w="1170"/>
          </w:tcPr>
          <w:p>
            <w:r>
              <w:rPr>
                <w:sz w:val="18"/>
              </w:rPr>
              <w:t>5629</w:t>
            </w:r>
          </w:p>
        </w:tc>
        <w:tc>
          <w:tcPr>
            <w:tcW w:type="dxa" w:w="1170"/>
          </w:tcPr>
          <w:p>
            <w:r>
              <w:rPr>
                <w:sz w:val="18"/>
              </w:rPr>
              <w:t>7</w:t>
            </w:r>
          </w:p>
        </w:tc>
        <w:tc>
          <w:tcPr>
            <w:tcW w:type="dxa" w:w="1170"/>
          </w:tcPr>
          <w:p>
            <w:r>
              <w:rPr>
                <w:sz w:val="18"/>
              </w:rPr>
              <w:t>10.6</w:t>
            </w:r>
          </w:p>
        </w:tc>
        <w:tc>
          <w:tcPr>
            <w:tcW w:type="dxa" w:w="1170"/>
          </w:tcPr>
          <w:p>
            <w:r>
              <w:rPr>
                <w:sz w:val="18"/>
              </w:rPr>
              <w:t>0.124</w:t>
            </w:r>
          </w:p>
        </w:tc>
      </w:tr>
      <w:tr>
        <w:tc>
          <w:tcPr>
            <w:tcW w:type="dxa" w:w="1170"/>
          </w:tcPr>
          <w:p>
            <w:r>
              <w:rPr>
                <w:sz w:val="18"/>
              </w:rPr>
              <w:t>10</w:t>
            </w:r>
          </w:p>
        </w:tc>
        <w:tc>
          <w:tcPr>
            <w:tcW w:type="dxa" w:w="1170"/>
          </w:tcPr>
          <w:p>
            <w:r>
              <w:rPr>
                <w:sz w:val="18"/>
              </w:rPr>
              <w:t>여성</w:t>
            </w:r>
          </w:p>
        </w:tc>
        <w:tc>
          <w:tcPr>
            <w:tcW w:type="dxa" w:w="1170"/>
          </w:tcPr>
          <w:p>
            <w:r>
              <w:rPr>
                <w:sz w:val="18"/>
              </w:rPr>
              <w:t>장년층(60-74세)</w:t>
            </w:r>
          </w:p>
        </w:tc>
        <w:tc>
          <w:tcPr>
            <w:tcW w:type="dxa" w:w="1170"/>
          </w:tcPr>
          <w:p>
            <w:r>
              <w:rPr>
                <w:sz w:val="18"/>
              </w:rPr>
              <w:t>MetS(+)</w:t>
            </w:r>
          </w:p>
        </w:tc>
        <w:tc>
          <w:tcPr>
            <w:tcW w:type="dxa" w:w="1170"/>
          </w:tcPr>
          <w:p>
            <w:r>
              <w:rPr>
                <w:sz w:val="18"/>
              </w:rPr>
              <w:t>680</w:t>
            </w:r>
          </w:p>
        </w:tc>
        <w:tc>
          <w:tcPr>
            <w:tcW w:type="dxa" w:w="1170"/>
          </w:tcPr>
          <w:p>
            <w:r>
              <w:rPr>
                <w:sz w:val="18"/>
              </w:rPr>
              <w:t>6</w:t>
            </w:r>
          </w:p>
        </w:tc>
        <w:tc>
          <w:tcPr>
            <w:tcW w:type="dxa" w:w="1170"/>
          </w:tcPr>
          <w:p>
            <w:r>
              <w:rPr>
                <w:sz w:val="18"/>
              </w:rPr>
              <w:t>9.1</w:t>
            </w:r>
          </w:p>
        </w:tc>
        <w:tc>
          <w:tcPr>
            <w:tcW w:type="dxa" w:w="1170"/>
          </w:tcPr>
          <w:p>
            <w:r>
              <w:rPr>
                <w:sz w:val="18"/>
              </w:rPr>
              <w:t>0.124</w:t>
            </w:r>
          </w:p>
        </w:tc>
      </w:tr>
      <w:tr>
        <w:tc>
          <w:tcPr>
            <w:tcW w:type="dxa" w:w="1170"/>
          </w:tcPr>
          <w:p>
            <w:r>
              <w:rPr>
                <w:sz w:val="18"/>
              </w:rPr>
              <w:t>11</w:t>
            </w:r>
          </w:p>
        </w:tc>
        <w:tc>
          <w:tcPr>
            <w:tcW w:type="dxa" w:w="1170"/>
          </w:tcPr>
          <w:p>
            <w:r>
              <w:rPr>
                <w:sz w:val="18"/>
              </w:rPr>
              <w:t>여성</w:t>
            </w:r>
          </w:p>
        </w:tc>
        <w:tc>
          <w:tcPr>
            <w:tcW w:type="dxa" w:w="1170"/>
          </w:tcPr>
          <w:p>
            <w:r>
              <w:rPr>
                <w:sz w:val="18"/>
              </w:rPr>
              <w:t>장년층(60-74세)</w:t>
            </w:r>
          </w:p>
        </w:tc>
        <w:tc>
          <w:tcPr>
            <w:tcW w:type="dxa" w:w="1170"/>
          </w:tcPr>
          <w:p>
            <w:r>
              <w:rPr>
                <w:sz w:val="18"/>
              </w:rPr>
              <w:t>MetS(-)</w:t>
            </w:r>
          </w:p>
        </w:tc>
        <w:tc>
          <w:tcPr>
            <w:tcW w:type="dxa" w:w="1170"/>
          </w:tcPr>
          <w:p>
            <w:r>
              <w:rPr>
                <w:sz w:val="18"/>
              </w:rPr>
              <w:t>1084</w:t>
            </w:r>
          </w:p>
        </w:tc>
        <w:tc>
          <w:tcPr>
            <w:tcW w:type="dxa" w:w="1170"/>
          </w:tcPr>
          <w:p>
            <w:r>
              <w:rPr>
                <w:sz w:val="18"/>
              </w:rPr>
              <w:t>3</w:t>
            </w:r>
          </w:p>
        </w:tc>
        <w:tc>
          <w:tcPr>
            <w:tcW w:type="dxa" w:w="1170"/>
          </w:tcPr>
          <w:p>
            <w:r>
              <w:rPr>
                <w:sz w:val="18"/>
              </w:rPr>
              <w:t>4.5</w:t>
            </w:r>
          </w:p>
        </w:tc>
        <w:tc>
          <w:tcPr>
            <w:tcW w:type="dxa" w:w="1170"/>
          </w:tcPr>
          <w:p>
            <w:r>
              <w:rPr>
                <w:sz w:val="18"/>
              </w:rPr>
              <w:t>0.124</w:t>
            </w:r>
          </w:p>
        </w:tc>
      </w:tr>
    </w:tbl>
    <w:p/>
    <w:p>
      <w:pPr>
        <w:pStyle w:val="Caption"/>
      </w:pPr>
      <w:r>
        <w:t>Note: Networks were estimated using SGCGM with cross-validated graphical lasso. Alpha represents the regularization parameter. Density is calculated as actual edges / possible edges.</w:t>
      </w:r>
    </w:p>
    <w:p>
      <w:r>
        <w:br w:type="page"/>
      </w:r>
    </w:p>
    <w:p>
      <w:pPr>
        <w:pStyle w:val="Heading2"/>
        <w:jc w:val="left"/>
      </w:pPr>
      <w:r>
        <w:t>Table 2. Hub Food Categories and Their Frequency Across Groups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jc w:val="center"/>
            </w:pPr>
            <w:r>
              <w:rPr>
                <w:b/>
                <w:sz w:val="20"/>
              </w:rPr>
              <w:t>Food Group</w:t>
            </w:r>
          </w:p>
        </w:tc>
        <w:tc>
          <w:tcPr>
            <w:tcW w:type="dxa" w:w="2340"/>
          </w:tcPr>
          <w:p>
            <w:pPr>
              <w:jc w:val="center"/>
            </w:pPr>
            <w:r>
              <w:rPr>
                <w:b/>
                <w:sz w:val="20"/>
              </w:rPr>
              <w:t>Hub Appearances (Top-3)</w:t>
            </w:r>
          </w:p>
        </w:tc>
        <w:tc>
          <w:tcPr>
            <w:tcW w:type="dxa" w:w="2340"/>
          </w:tcPr>
          <w:p>
            <w:pPr>
              <w:jc w:val="center"/>
            </w:pPr>
            <w:r>
              <w:rPr>
                <w:b/>
                <w:sz w:val="20"/>
              </w:rPr>
              <w:t>Frequency (%)</w:t>
            </w:r>
          </w:p>
        </w:tc>
        <w:tc>
          <w:tcPr>
            <w:tcW w:type="dxa" w:w="2340"/>
          </w:tcPr>
          <w:p>
            <w:pPr>
              <w:jc w:val="center"/>
            </w:pPr>
            <w:r>
              <w:rPr>
                <w:b/>
                <w:sz w:val="20"/>
              </w:rPr>
              <w:t>Universal Status</w:t>
            </w:r>
          </w:p>
        </w:tc>
      </w:tr>
      <w:tr>
        <w:tc>
          <w:tcPr>
            <w:tcW w:type="dxa" w:w="2340"/>
          </w:tcPr>
          <w:p>
            <w:r>
              <w:rPr>
                <w:sz w:val="18"/>
              </w:rPr>
              <w:t>Processed Foods</w:t>
            </w:r>
          </w:p>
        </w:tc>
        <w:tc>
          <w:tcPr>
            <w:tcW w:type="dxa" w:w="2340"/>
          </w:tcPr>
          <w:p>
            <w:r>
              <w:rPr>
                <w:sz w:val="18"/>
              </w:rPr>
              <w:t>10</w:t>
            </w:r>
          </w:p>
        </w:tc>
        <w:tc>
          <w:tcPr>
            <w:tcW w:type="dxa" w:w="2340"/>
          </w:tcPr>
          <w:p>
            <w:r>
              <w:rPr>
                <w:sz w:val="18"/>
              </w:rPr>
              <w:t>90.9</w:t>
            </w:r>
          </w:p>
        </w:tc>
        <w:tc>
          <w:tcPr>
            <w:tcW w:type="dxa" w:w="2340"/>
          </w:tcPr>
          <w:p>
            <w:r>
              <w:rPr>
                <w:sz w:val="18"/>
              </w:rPr>
              <w:t>Universal Hub</w:t>
            </w:r>
          </w:p>
        </w:tc>
      </w:tr>
      <w:tr>
        <w:tc>
          <w:tcPr>
            <w:tcW w:type="dxa" w:w="2340"/>
          </w:tcPr>
          <w:p>
            <w:r>
              <w:rPr>
                <w:sz w:val="18"/>
              </w:rPr>
              <w:t>Fried Foods</w:t>
            </w:r>
          </w:p>
        </w:tc>
        <w:tc>
          <w:tcPr>
            <w:tcW w:type="dxa" w:w="2340"/>
          </w:tcPr>
          <w:p>
            <w:r>
              <w:rPr>
                <w:sz w:val="18"/>
              </w:rPr>
              <w:t>9</w:t>
            </w:r>
          </w:p>
        </w:tc>
        <w:tc>
          <w:tcPr>
            <w:tcW w:type="dxa" w:w="2340"/>
          </w:tcPr>
          <w:p>
            <w:r>
              <w:rPr>
                <w:sz w:val="18"/>
              </w:rPr>
              <w:t>81.8</w:t>
            </w:r>
          </w:p>
        </w:tc>
        <w:tc>
          <w:tcPr>
            <w:tcW w:type="dxa" w:w="2340"/>
          </w:tcPr>
          <w:p>
            <w:r>
              <w:rPr>
                <w:sz w:val="18"/>
              </w:rPr>
              <w:t>Universal Hub</w:t>
            </w:r>
          </w:p>
        </w:tc>
      </w:tr>
      <w:tr>
        <w:tc>
          <w:tcPr>
            <w:tcW w:type="dxa" w:w="2340"/>
          </w:tcPr>
          <w:p>
            <w:r>
              <w:rPr>
                <w:sz w:val="18"/>
              </w:rPr>
              <w:t>Protein Foods</w:t>
            </w:r>
          </w:p>
        </w:tc>
        <w:tc>
          <w:tcPr>
            <w:tcW w:type="dxa" w:w="2340"/>
          </w:tcPr>
          <w:p>
            <w:r>
              <w:rPr>
                <w:sz w:val="18"/>
              </w:rPr>
              <w:t>8</w:t>
            </w:r>
          </w:p>
        </w:tc>
        <w:tc>
          <w:tcPr>
            <w:tcW w:type="dxa" w:w="2340"/>
          </w:tcPr>
          <w:p>
            <w:r>
              <w:rPr>
                <w:sz w:val="18"/>
              </w:rPr>
              <w:t>72.7</w:t>
            </w:r>
          </w:p>
        </w:tc>
        <w:tc>
          <w:tcPr>
            <w:tcW w:type="dxa" w:w="2340"/>
          </w:tcPr>
          <w:p>
            <w:r>
              <w:rPr>
                <w:sz w:val="18"/>
              </w:rPr>
              <w:t>Moderate Hub</w:t>
            </w:r>
          </w:p>
        </w:tc>
      </w:tr>
      <w:tr>
        <w:tc>
          <w:tcPr>
            <w:tcW w:type="dxa" w:w="2340"/>
          </w:tcPr>
          <w:p>
            <w:r>
              <w:rPr>
                <w:sz w:val="18"/>
              </w:rPr>
              <w:t>High Fat Meat</w:t>
            </w:r>
          </w:p>
        </w:tc>
        <w:tc>
          <w:tcPr>
            <w:tcW w:type="dxa" w:w="2340"/>
          </w:tcPr>
          <w:p>
            <w:r>
              <w:rPr>
                <w:sz w:val="18"/>
              </w:rPr>
              <w:t>2</w:t>
            </w:r>
          </w:p>
        </w:tc>
        <w:tc>
          <w:tcPr>
            <w:tcW w:type="dxa" w:w="2340"/>
          </w:tcPr>
          <w:p>
            <w:r>
              <w:rPr>
                <w:sz w:val="18"/>
              </w:rPr>
              <w:t>18.2</w:t>
            </w:r>
          </w:p>
        </w:tc>
        <w:tc>
          <w:tcPr>
            <w:tcW w:type="dxa" w:w="2340"/>
          </w:tcPr>
          <w:p>
            <w:r>
              <w:rPr>
                <w:sz w:val="18"/>
              </w:rPr>
              <w:t>Group-Specific</w:t>
            </w:r>
          </w:p>
        </w:tc>
      </w:tr>
      <w:tr>
        <w:tc>
          <w:tcPr>
            <w:tcW w:type="dxa" w:w="2340"/>
          </w:tcPr>
          <w:p>
            <w:r>
              <w:rPr>
                <w:sz w:val="18"/>
              </w:rPr>
              <w:t>Vegetables</w:t>
            </w:r>
          </w:p>
        </w:tc>
        <w:tc>
          <w:tcPr>
            <w:tcW w:type="dxa" w:w="2340"/>
          </w:tcPr>
          <w:p>
            <w:r>
              <w:rPr>
                <w:sz w:val="18"/>
              </w:rPr>
              <w:t>2</w:t>
            </w:r>
          </w:p>
        </w:tc>
        <w:tc>
          <w:tcPr>
            <w:tcW w:type="dxa" w:w="2340"/>
          </w:tcPr>
          <w:p>
            <w:r>
              <w:rPr>
                <w:sz w:val="18"/>
              </w:rPr>
              <w:t>18.2</w:t>
            </w:r>
          </w:p>
        </w:tc>
        <w:tc>
          <w:tcPr>
            <w:tcW w:type="dxa" w:w="2340"/>
          </w:tcPr>
          <w:p>
            <w:r>
              <w:rPr>
                <w:sz w:val="18"/>
              </w:rPr>
              <w:t>Group-Specific</w:t>
            </w:r>
          </w:p>
        </w:tc>
      </w:tr>
      <w:tr>
        <w:tc>
          <w:tcPr>
            <w:tcW w:type="dxa" w:w="2340"/>
          </w:tcPr>
          <w:p>
            <w:r>
              <w:rPr>
                <w:sz w:val="18"/>
              </w:rPr>
              <w:t>Sugar-Sweetened Beverages</w:t>
            </w:r>
          </w:p>
        </w:tc>
        <w:tc>
          <w:tcPr>
            <w:tcW w:type="dxa" w:w="2340"/>
          </w:tcPr>
          <w:p>
            <w:r>
              <w:rPr>
                <w:sz w:val="18"/>
              </w:rPr>
              <w:t>1</w:t>
            </w:r>
          </w:p>
        </w:tc>
        <w:tc>
          <w:tcPr>
            <w:tcW w:type="dxa" w:w="2340"/>
          </w:tcPr>
          <w:p>
            <w:r>
              <w:rPr>
                <w:sz w:val="18"/>
              </w:rPr>
              <w:t>9.1</w:t>
            </w:r>
          </w:p>
        </w:tc>
        <w:tc>
          <w:tcPr>
            <w:tcW w:type="dxa" w:w="2340"/>
          </w:tcPr>
          <w:p>
            <w:r>
              <w:rPr>
                <w:sz w:val="18"/>
              </w:rPr>
              <w:t>Group-Specific</w:t>
            </w:r>
          </w:p>
        </w:tc>
      </w:tr>
      <w:tr>
        <w:tc>
          <w:tcPr>
            <w:tcW w:type="dxa" w:w="2340"/>
          </w:tcPr>
          <w:p>
            <w:r>
              <w:rPr>
                <w:sz w:val="18"/>
              </w:rPr>
              <w:t>Sweet Food Consumption</w:t>
            </w:r>
          </w:p>
        </w:tc>
        <w:tc>
          <w:tcPr>
            <w:tcW w:type="dxa" w:w="2340"/>
          </w:tcPr>
          <w:p>
            <w:r>
              <w:rPr>
                <w:sz w:val="18"/>
              </w:rPr>
              <w:t>1</w:t>
            </w:r>
          </w:p>
        </w:tc>
        <w:tc>
          <w:tcPr>
            <w:tcW w:type="dxa" w:w="2340"/>
          </w:tcPr>
          <w:p>
            <w:r>
              <w:rPr>
                <w:sz w:val="18"/>
              </w:rPr>
              <w:t>9.1</w:t>
            </w:r>
          </w:p>
        </w:tc>
        <w:tc>
          <w:tcPr>
            <w:tcW w:type="dxa" w:w="2340"/>
          </w:tcPr>
          <w:p>
            <w:r>
              <w:rPr>
                <w:sz w:val="18"/>
              </w:rPr>
              <w:t>Group-Specific</w:t>
            </w:r>
          </w:p>
        </w:tc>
      </w:tr>
    </w:tbl>
    <w:p/>
    <w:p>
      <w:pPr>
        <w:pStyle w:val="Caption"/>
      </w:pPr>
      <w:r>
        <w:t>Note: Hub status is defined as degree centrality ≥6. Frequency indicates the proportion of groups in which each food category serves as a hub. Processed foods and fried foods demonstrate universal hub characteristics.</w:t>
      </w:r>
    </w:p>
    <w:p>
      <w:r>
        <w:br w:type="page"/>
      </w:r>
    </w:p>
    <w:p>
      <w:pPr>
        <w:pStyle w:val="Heading2"/>
        <w:jc w:val="left"/>
      </w:pPr>
      <w:r>
        <w:t>Table 3. Top 10 Strongest Partial Correlations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sz w:val="20"/>
              </w:rPr>
              <w:t>Rank</w:t>
            </w:r>
          </w:p>
        </w:tc>
        <w:tc>
          <w:tcPr>
            <w:tcW w:type="dxa" w:w="1560"/>
          </w:tcPr>
          <w:p>
            <w:pPr>
              <w:jc w:val="center"/>
            </w:pPr>
            <w:r>
              <w:rPr>
                <w:b/>
                <w:sz w:val="20"/>
              </w:rPr>
              <w:t>Food Group 1</w:t>
            </w:r>
          </w:p>
        </w:tc>
        <w:tc>
          <w:tcPr>
            <w:tcW w:type="dxa" w:w="1560"/>
          </w:tcPr>
          <w:p>
            <w:pPr>
              <w:jc w:val="center"/>
            </w:pPr>
            <w:r>
              <w:rPr>
                <w:b/>
                <w:sz w:val="20"/>
              </w:rPr>
              <w:t>Food Group 2</w:t>
            </w:r>
          </w:p>
        </w:tc>
        <w:tc>
          <w:tcPr>
            <w:tcW w:type="dxa" w:w="1560"/>
          </w:tcPr>
          <w:p>
            <w:pPr>
              <w:jc w:val="center"/>
            </w:pPr>
            <w:r>
              <w:rPr>
                <w:b/>
                <w:sz w:val="20"/>
              </w:rPr>
              <w:t>Mean |ρ|</w:t>
            </w:r>
          </w:p>
        </w:tc>
        <w:tc>
          <w:tcPr>
            <w:tcW w:type="dxa" w:w="1560"/>
          </w:tcPr>
          <w:p>
            <w:pPr>
              <w:jc w:val="center"/>
            </w:pPr>
            <w:r>
              <w:rPr>
                <w:b/>
                <w:sz w:val="20"/>
              </w:rPr>
              <w:t>Range</w:t>
            </w:r>
          </w:p>
        </w:tc>
        <w:tc>
          <w:tcPr>
            <w:tcW w:type="dxa" w:w="1560"/>
          </w:tcPr>
          <w:p>
            <w:pPr>
              <w:jc w:val="center"/>
            </w:pPr>
            <w:r>
              <w:rPr>
                <w:b/>
                <w:sz w:val="20"/>
              </w:rPr>
              <w:t>Groups Present</w:t>
            </w:r>
          </w:p>
        </w:tc>
      </w:tr>
      <w:tr>
        <w:tc>
          <w:tcPr>
            <w:tcW w:type="dxa" w:w="1560"/>
          </w:tcPr>
          <w:p>
            <w:r>
              <w:rPr>
                <w:sz w:val="18"/>
              </w:rPr>
              <w:t>1</w:t>
            </w:r>
          </w:p>
        </w:tc>
        <w:tc>
          <w:tcPr>
            <w:tcW w:type="dxa" w:w="1560"/>
          </w:tcPr>
          <w:p>
            <w:r>
              <w:rPr>
                <w:sz w:val="18"/>
              </w:rPr>
              <w:t>Protein Foods</w:t>
            </w:r>
          </w:p>
        </w:tc>
        <w:tc>
          <w:tcPr>
            <w:tcW w:type="dxa" w:w="1560"/>
          </w:tcPr>
          <w:p>
            <w:r>
              <w:rPr>
                <w:sz w:val="18"/>
              </w:rPr>
              <w:t>Vegetables</w:t>
            </w:r>
          </w:p>
        </w:tc>
        <w:tc>
          <w:tcPr>
            <w:tcW w:type="dxa" w:w="1560"/>
          </w:tcPr>
          <w:p>
            <w:r>
              <w:rPr>
                <w:sz w:val="18"/>
              </w:rPr>
              <w:t>0.318</w:t>
            </w:r>
          </w:p>
        </w:tc>
        <w:tc>
          <w:tcPr>
            <w:tcW w:type="dxa" w:w="1560"/>
          </w:tcPr>
          <w:p>
            <w:r>
              <w:rPr>
                <w:sz w:val="18"/>
              </w:rPr>
              <w:t>0.23-0.39</w:t>
            </w:r>
          </w:p>
        </w:tc>
        <w:tc>
          <w:tcPr>
            <w:tcW w:type="dxa" w:w="1560"/>
          </w:tcPr>
          <w:p>
            <w:r>
              <w:rPr>
                <w:sz w:val="18"/>
              </w:rPr>
              <w:t>11/11</w:t>
            </w:r>
          </w:p>
        </w:tc>
      </w:tr>
      <w:tr>
        <w:tc>
          <w:tcPr>
            <w:tcW w:type="dxa" w:w="1560"/>
          </w:tcPr>
          <w:p>
            <w:r>
              <w:rPr>
                <w:sz w:val="18"/>
              </w:rPr>
              <w:t>2</w:t>
            </w:r>
          </w:p>
        </w:tc>
        <w:tc>
          <w:tcPr>
            <w:tcW w:type="dxa" w:w="1560"/>
          </w:tcPr>
          <w:p>
            <w:r>
              <w:rPr>
                <w:sz w:val="18"/>
              </w:rPr>
              <w:t>Additional Salt Use</w:t>
            </w:r>
          </w:p>
        </w:tc>
        <w:tc>
          <w:tcPr>
            <w:tcW w:type="dxa" w:w="1560"/>
          </w:tcPr>
          <w:p>
            <w:r>
              <w:rPr>
                <w:sz w:val="18"/>
              </w:rPr>
              <w:t>Salty Food Consumption</w:t>
            </w:r>
          </w:p>
        </w:tc>
        <w:tc>
          <w:tcPr>
            <w:tcW w:type="dxa" w:w="1560"/>
          </w:tcPr>
          <w:p>
            <w:r>
              <w:rPr>
                <w:sz w:val="18"/>
              </w:rPr>
              <w:t>0.222</w:t>
            </w:r>
          </w:p>
        </w:tc>
        <w:tc>
          <w:tcPr>
            <w:tcW w:type="dxa" w:w="1560"/>
          </w:tcPr>
          <w:p>
            <w:r>
              <w:rPr>
                <w:sz w:val="18"/>
              </w:rPr>
              <w:t>0.14-0.30</w:t>
            </w:r>
          </w:p>
        </w:tc>
        <w:tc>
          <w:tcPr>
            <w:tcW w:type="dxa" w:w="1560"/>
          </w:tcPr>
          <w:p>
            <w:r>
              <w:rPr>
                <w:sz w:val="18"/>
              </w:rPr>
              <w:t>11/11</w:t>
            </w:r>
          </w:p>
        </w:tc>
      </w:tr>
      <w:tr>
        <w:tc>
          <w:tcPr>
            <w:tcW w:type="dxa" w:w="1560"/>
          </w:tcPr>
          <w:p>
            <w:r>
              <w:rPr>
                <w:sz w:val="18"/>
              </w:rPr>
              <w:t>3</w:t>
            </w:r>
          </w:p>
        </w:tc>
        <w:tc>
          <w:tcPr>
            <w:tcW w:type="dxa" w:w="1560"/>
          </w:tcPr>
          <w:p>
            <w:r>
              <w:rPr>
                <w:sz w:val="18"/>
              </w:rPr>
              <w:t>Fried Foods</w:t>
            </w:r>
          </w:p>
        </w:tc>
        <w:tc>
          <w:tcPr>
            <w:tcW w:type="dxa" w:w="1560"/>
          </w:tcPr>
          <w:p>
            <w:r>
              <w:rPr>
                <w:sz w:val="18"/>
              </w:rPr>
              <w:t>High Fat Meat</w:t>
            </w:r>
          </w:p>
        </w:tc>
        <w:tc>
          <w:tcPr>
            <w:tcW w:type="dxa" w:w="1560"/>
          </w:tcPr>
          <w:p>
            <w:r>
              <w:rPr>
                <w:sz w:val="18"/>
              </w:rPr>
              <w:t>0.166</w:t>
            </w:r>
          </w:p>
        </w:tc>
        <w:tc>
          <w:tcPr>
            <w:tcW w:type="dxa" w:w="1560"/>
          </w:tcPr>
          <w:p>
            <w:r>
              <w:rPr>
                <w:sz w:val="18"/>
              </w:rPr>
              <w:t>0.07-0.23</w:t>
            </w:r>
          </w:p>
        </w:tc>
        <w:tc>
          <w:tcPr>
            <w:tcW w:type="dxa" w:w="1560"/>
          </w:tcPr>
          <w:p>
            <w:r>
              <w:rPr>
                <w:sz w:val="18"/>
              </w:rPr>
              <w:t>11/11</w:t>
            </w:r>
          </w:p>
        </w:tc>
      </w:tr>
      <w:tr>
        <w:tc>
          <w:tcPr>
            <w:tcW w:type="dxa" w:w="1560"/>
          </w:tcPr>
          <w:p>
            <w:r>
              <w:rPr>
                <w:sz w:val="18"/>
              </w:rPr>
              <w:t>4</w:t>
            </w:r>
          </w:p>
        </w:tc>
        <w:tc>
          <w:tcPr>
            <w:tcW w:type="dxa" w:w="1560"/>
          </w:tcPr>
          <w:p>
            <w:r>
              <w:rPr>
                <w:sz w:val="18"/>
              </w:rPr>
              <w:t>Fried Foods</w:t>
            </w:r>
          </w:p>
        </w:tc>
        <w:tc>
          <w:tcPr>
            <w:tcW w:type="dxa" w:w="1560"/>
          </w:tcPr>
          <w:p>
            <w:r>
              <w:rPr>
                <w:sz w:val="18"/>
              </w:rPr>
              <w:t>Processed Foods</w:t>
            </w:r>
          </w:p>
        </w:tc>
        <w:tc>
          <w:tcPr>
            <w:tcW w:type="dxa" w:w="1560"/>
          </w:tcPr>
          <w:p>
            <w:r>
              <w:rPr>
                <w:sz w:val="18"/>
              </w:rPr>
              <w:t>0.143</w:t>
            </w:r>
          </w:p>
        </w:tc>
        <w:tc>
          <w:tcPr>
            <w:tcW w:type="dxa" w:w="1560"/>
          </w:tcPr>
          <w:p>
            <w:r>
              <w:rPr>
                <w:sz w:val="18"/>
              </w:rPr>
              <w:t>0.07-0.21</w:t>
            </w:r>
          </w:p>
        </w:tc>
        <w:tc>
          <w:tcPr>
            <w:tcW w:type="dxa" w:w="1560"/>
          </w:tcPr>
          <w:p>
            <w:r>
              <w:rPr>
                <w:sz w:val="18"/>
              </w:rPr>
              <w:t>11/11</w:t>
            </w:r>
          </w:p>
        </w:tc>
      </w:tr>
      <w:tr>
        <w:tc>
          <w:tcPr>
            <w:tcW w:type="dxa" w:w="1560"/>
          </w:tcPr>
          <w:p>
            <w:r>
              <w:rPr>
                <w:sz w:val="18"/>
              </w:rPr>
              <w:t>5</w:t>
            </w:r>
          </w:p>
        </w:tc>
        <w:tc>
          <w:tcPr>
            <w:tcW w:type="dxa" w:w="1560"/>
          </w:tcPr>
          <w:p>
            <w:r>
              <w:rPr>
                <w:sz w:val="18"/>
              </w:rPr>
              <w:t>Processed Foods</w:t>
            </w:r>
          </w:p>
        </w:tc>
        <w:tc>
          <w:tcPr>
            <w:tcW w:type="dxa" w:w="1560"/>
          </w:tcPr>
          <w:p>
            <w:r>
              <w:rPr>
                <w:sz w:val="18"/>
              </w:rPr>
              <w:t>Sugar-Sweetened Beverages</w:t>
            </w:r>
          </w:p>
        </w:tc>
        <w:tc>
          <w:tcPr>
            <w:tcW w:type="dxa" w:w="1560"/>
          </w:tcPr>
          <w:p>
            <w:r>
              <w:rPr>
                <w:sz w:val="18"/>
              </w:rPr>
              <w:t>0.116</w:t>
            </w:r>
          </w:p>
        </w:tc>
        <w:tc>
          <w:tcPr>
            <w:tcW w:type="dxa" w:w="1560"/>
          </w:tcPr>
          <w:p>
            <w:r>
              <w:rPr>
                <w:sz w:val="18"/>
              </w:rPr>
              <w:t>0.02-0.18</w:t>
            </w:r>
          </w:p>
        </w:tc>
        <w:tc>
          <w:tcPr>
            <w:tcW w:type="dxa" w:w="1560"/>
          </w:tcPr>
          <w:p>
            <w:r>
              <w:rPr>
                <w:sz w:val="18"/>
              </w:rPr>
              <w:t>11/11</w:t>
            </w:r>
          </w:p>
        </w:tc>
      </w:tr>
      <w:tr>
        <w:tc>
          <w:tcPr>
            <w:tcW w:type="dxa" w:w="1560"/>
          </w:tcPr>
          <w:p>
            <w:r>
              <w:rPr>
                <w:sz w:val="18"/>
              </w:rPr>
              <w:t>6</w:t>
            </w:r>
          </w:p>
        </w:tc>
        <w:tc>
          <w:tcPr>
            <w:tcW w:type="dxa" w:w="1560"/>
          </w:tcPr>
          <w:p>
            <w:r>
              <w:rPr>
                <w:sz w:val="18"/>
              </w:rPr>
              <w:t>High Fat Meat</w:t>
            </w:r>
          </w:p>
        </w:tc>
        <w:tc>
          <w:tcPr>
            <w:tcW w:type="dxa" w:w="1560"/>
          </w:tcPr>
          <w:p>
            <w:r>
              <w:rPr>
                <w:sz w:val="18"/>
              </w:rPr>
              <w:t>Processed Foods</w:t>
            </w:r>
          </w:p>
        </w:tc>
        <w:tc>
          <w:tcPr>
            <w:tcW w:type="dxa" w:w="1560"/>
          </w:tcPr>
          <w:p>
            <w:r>
              <w:rPr>
                <w:sz w:val="18"/>
              </w:rPr>
              <w:t>0.1</w:t>
            </w:r>
          </w:p>
        </w:tc>
        <w:tc>
          <w:tcPr>
            <w:tcW w:type="dxa" w:w="1560"/>
          </w:tcPr>
          <w:p>
            <w:r>
              <w:rPr>
                <w:sz w:val="18"/>
              </w:rPr>
              <w:t>0.03-0.17</w:t>
            </w:r>
          </w:p>
        </w:tc>
        <w:tc>
          <w:tcPr>
            <w:tcW w:type="dxa" w:w="1560"/>
          </w:tcPr>
          <w:p>
            <w:r>
              <w:rPr>
                <w:sz w:val="18"/>
              </w:rPr>
              <w:t>10/11</w:t>
            </w:r>
          </w:p>
        </w:tc>
      </w:tr>
      <w:tr>
        <w:tc>
          <w:tcPr>
            <w:tcW w:type="dxa" w:w="1560"/>
          </w:tcPr>
          <w:p>
            <w:r>
              <w:rPr>
                <w:sz w:val="18"/>
              </w:rPr>
              <w:t>7</w:t>
            </w:r>
          </w:p>
        </w:tc>
        <w:tc>
          <w:tcPr>
            <w:tcW w:type="dxa" w:w="1560"/>
          </w:tcPr>
          <w:p>
            <w:r>
              <w:rPr>
                <w:sz w:val="18"/>
              </w:rPr>
              <w:t>Grain Products</w:t>
            </w:r>
          </w:p>
        </w:tc>
        <w:tc>
          <w:tcPr>
            <w:tcW w:type="dxa" w:w="1560"/>
          </w:tcPr>
          <w:p>
            <w:r>
              <w:rPr>
                <w:sz w:val="18"/>
              </w:rPr>
              <w:t>Protein Foods</w:t>
            </w:r>
          </w:p>
        </w:tc>
        <w:tc>
          <w:tcPr>
            <w:tcW w:type="dxa" w:w="1560"/>
          </w:tcPr>
          <w:p>
            <w:r>
              <w:rPr>
                <w:sz w:val="18"/>
              </w:rPr>
              <w:t>0.098</w:t>
            </w:r>
          </w:p>
        </w:tc>
        <w:tc>
          <w:tcPr>
            <w:tcW w:type="dxa" w:w="1560"/>
          </w:tcPr>
          <w:p>
            <w:r>
              <w:rPr>
                <w:sz w:val="18"/>
              </w:rPr>
              <w:t>0.02-0.17</w:t>
            </w:r>
          </w:p>
        </w:tc>
        <w:tc>
          <w:tcPr>
            <w:tcW w:type="dxa" w:w="1560"/>
          </w:tcPr>
          <w:p>
            <w:r>
              <w:rPr>
                <w:sz w:val="18"/>
              </w:rPr>
              <w:t>11/11</w:t>
            </w:r>
          </w:p>
        </w:tc>
      </w:tr>
      <w:tr>
        <w:tc>
          <w:tcPr>
            <w:tcW w:type="dxa" w:w="1560"/>
          </w:tcPr>
          <w:p>
            <w:r>
              <w:rPr>
                <w:sz w:val="18"/>
              </w:rPr>
              <w:t>8</w:t>
            </w:r>
          </w:p>
        </w:tc>
        <w:tc>
          <w:tcPr>
            <w:tcW w:type="dxa" w:w="1560"/>
          </w:tcPr>
          <w:p>
            <w:r>
              <w:rPr>
                <w:sz w:val="18"/>
              </w:rPr>
              <w:t>Sugar-Sweetened Beverages</w:t>
            </w:r>
          </w:p>
        </w:tc>
        <w:tc>
          <w:tcPr>
            <w:tcW w:type="dxa" w:w="1560"/>
          </w:tcPr>
          <w:p>
            <w:r>
              <w:rPr>
                <w:sz w:val="18"/>
              </w:rPr>
              <w:t>Sweet Food Consumption</w:t>
            </w:r>
          </w:p>
        </w:tc>
        <w:tc>
          <w:tcPr>
            <w:tcW w:type="dxa" w:w="1560"/>
          </w:tcPr>
          <w:p>
            <w:r>
              <w:rPr>
                <w:sz w:val="18"/>
              </w:rPr>
              <w:t>0.098</w:t>
            </w:r>
          </w:p>
        </w:tc>
        <w:tc>
          <w:tcPr>
            <w:tcW w:type="dxa" w:w="1560"/>
          </w:tcPr>
          <w:p>
            <w:r>
              <w:rPr>
                <w:sz w:val="18"/>
              </w:rPr>
              <w:t>0.02-0.16</w:t>
            </w:r>
          </w:p>
        </w:tc>
        <w:tc>
          <w:tcPr>
            <w:tcW w:type="dxa" w:w="1560"/>
          </w:tcPr>
          <w:p>
            <w:r>
              <w:rPr>
                <w:sz w:val="18"/>
              </w:rPr>
              <w:t>9/11</w:t>
            </w:r>
          </w:p>
        </w:tc>
      </w:tr>
      <w:tr>
        <w:tc>
          <w:tcPr>
            <w:tcW w:type="dxa" w:w="1560"/>
          </w:tcPr>
          <w:p>
            <w:r>
              <w:rPr>
                <w:sz w:val="18"/>
              </w:rPr>
              <w:t>9</w:t>
            </w:r>
          </w:p>
        </w:tc>
        <w:tc>
          <w:tcPr>
            <w:tcW w:type="dxa" w:w="1560"/>
          </w:tcPr>
          <w:p>
            <w:r>
              <w:rPr>
                <w:sz w:val="18"/>
              </w:rPr>
              <w:t>Processed Foods</w:t>
            </w:r>
          </w:p>
        </w:tc>
        <w:tc>
          <w:tcPr>
            <w:tcW w:type="dxa" w:w="1560"/>
          </w:tcPr>
          <w:p>
            <w:r>
              <w:rPr>
                <w:sz w:val="18"/>
              </w:rPr>
              <w:t>Sweet Food Consumption</w:t>
            </w:r>
          </w:p>
        </w:tc>
        <w:tc>
          <w:tcPr>
            <w:tcW w:type="dxa" w:w="1560"/>
          </w:tcPr>
          <w:p>
            <w:r>
              <w:rPr>
                <w:sz w:val="18"/>
              </w:rPr>
              <w:t>0.09</w:t>
            </w:r>
          </w:p>
        </w:tc>
        <w:tc>
          <w:tcPr>
            <w:tcW w:type="dxa" w:w="1560"/>
          </w:tcPr>
          <w:p>
            <w:r>
              <w:rPr>
                <w:sz w:val="18"/>
              </w:rPr>
              <w:t>0.03-0.13</w:t>
            </w:r>
          </w:p>
        </w:tc>
        <w:tc>
          <w:tcPr>
            <w:tcW w:type="dxa" w:w="1560"/>
          </w:tcPr>
          <w:p>
            <w:r>
              <w:rPr>
                <w:sz w:val="18"/>
              </w:rPr>
              <w:t>10/11</w:t>
            </w:r>
          </w:p>
        </w:tc>
      </w:tr>
      <w:tr>
        <w:tc>
          <w:tcPr>
            <w:tcW w:type="dxa" w:w="1560"/>
          </w:tcPr>
          <w:p>
            <w:r>
              <w:rPr>
                <w:sz w:val="18"/>
              </w:rPr>
              <w:t>10</w:t>
            </w:r>
          </w:p>
        </w:tc>
        <w:tc>
          <w:tcPr>
            <w:tcW w:type="dxa" w:w="1560"/>
          </w:tcPr>
          <w:p>
            <w:r>
              <w:rPr>
                <w:sz w:val="18"/>
              </w:rPr>
              <w:t>Dairy Products</w:t>
            </w:r>
          </w:p>
        </w:tc>
        <w:tc>
          <w:tcPr>
            <w:tcW w:type="dxa" w:w="1560"/>
          </w:tcPr>
          <w:p>
            <w:r>
              <w:rPr>
                <w:sz w:val="18"/>
              </w:rPr>
              <w:t>Fruits</w:t>
            </w:r>
          </w:p>
        </w:tc>
        <w:tc>
          <w:tcPr>
            <w:tcW w:type="dxa" w:w="1560"/>
          </w:tcPr>
          <w:p>
            <w:r>
              <w:rPr>
                <w:sz w:val="18"/>
              </w:rPr>
              <w:t>0.078</w:t>
            </w:r>
          </w:p>
        </w:tc>
        <w:tc>
          <w:tcPr>
            <w:tcW w:type="dxa" w:w="1560"/>
          </w:tcPr>
          <w:p>
            <w:r>
              <w:rPr>
                <w:sz w:val="18"/>
              </w:rPr>
              <w:t>0.02-0.15</w:t>
            </w:r>
          </w:p>
        </w:tc>
        <w:tc>
          <w:tcPr>
            <w:tcW w:type="dxa" w:w="1560"/>
          </w:tcPr>
          <w:p>
            <w:r>
              <w:rPr>
                <w:sz w:val="18"/>
              </w:rPr>
              <w:t>11/11</w:t>
            </w:r>
          </w:p>
        </w:tc>
      </w:tr>
    </w:tbl>
    <w:p/>
    <w:p>
      <w:pPr>
        <w:pStyle w:val="Caption"/>
      </w:pPr>
      <w:r>
        <w:t>Note: Partial correlations represent conditional dependencies after controlling for all other food categories. The strongest relationship (Protein-Vegetables, r=0.318) demonstrates quality-focused dietary patterns, while hub foods (Processed/Fried) show broader but weaker connections.</w:t>
      </w:r>
    </w:p>
    <w:p>
      <w:r>
        <w:br w:type="page"/>
      </w:r>
    </w:p>
    <w:p>
      <w:pPr>
        <w:pStyle w:val="Heading1"/>
        <w:jc w:val="left"/>
      </w:pPr>
      <w:r>
        <w:t>Supplementary Figures</w:t>
      </w:r>
    </w:p>
    <w:p>
      <w:pPr>
        <w:pStyle w:val="Heading2"/>
      </w:pPr>
      <w:r>
        <w:t>Figure S1 (Figure 7). Complete Network Analysis Across All Stratified Groups</w:t>
      </w:r>
    </w:p>
    <w:p>
      <w:pPr>
        <w:jc w:val="center"/>
      </w:pPr>
      <w:r>
        <w:drawing>
          <wp:inline xmlns:a="http://schemas.openxmlformats.org/drawingml/2006/main" xmlns:pic="http://schemas.openxmlformats.org/drawingml/2006/picture">
            <wp:extent cx="5943600" cy="8073356"/>
            <wp:docPr id="3" name="Picture 3"/>
            <wp:cNvGraphicFramePr>
              <a:graphicFrameLocks noChangeAspect="1"/>
            </wp:cNvGraphicFramePr>
            <a:graphic>
              <a:graphicData uri="http://schemas.openxmlformats.org/drawingml/2006/picture">
                <pic:pic>
                  <pic:nvPicPr>
                    <pic:cNvPr id="0" name="Figure7_All_Networks_Grid.png"/>
                    <pic:cNvPicPr/>
                  </pic:nvPicPr>
                  <pic:blipFill>
                    <a:blip r:embed="rId11"/>
                    <a:stretch>
                      <a:fillRect/>
                    </a:stretch>
                  </pic:blipFill>
                  <pic:spPr>
                    <a:xfrm>
                      <a:off x="0" y="0"/>
                      <a:ext cx="5943600" cy="8073356"/>
                    </a:xfrm>
                    <a:prstGeom prst="rect"/>
                  </pic:spPr>
                </pic:pic>
              </a:graphicData>
            </a:graphic>
          </wp:inline>
        </w:drawing>
      </w:r>
    </w:p>
    <w:p>
      <w:pPr>
        <w:jc w:val="left"/>
      </w:pPr>
      <w:r>
        <w:rPr>
          <w:i/>
          <w:sz w:val="20"/>
        </w:rPr>
        <w:t>Figure S1 (Figure 7). Comprehensive network visualization of dietary preferences across all 11 stratified population groups. Each panel represents a separate network analysis for a specific demographic subgroup. This complete grid demonstrates the consistency of hub foods (Processed, Fried) across diverse populations, while revealing group-specific variations in network density and edge patterns. Network estimation and visualization conventions follow Figure 5.</w:t>
      </w:r>
    </w:p>
    <w:p/>
    <w:p>
      <w:r>
        <w:br w:type="page"/>
      </w:r>
    </w:p>
    <w:p>
      <w:pPr>
        <w:pStyle w:val="Heading2"/>
      </w:pPr>
      <w:r>
        <w:t>Figure S2 (Figure 3). Partial Correlation Matrices for Representative Groups</w:t>
      </w:r>
    </w:p>
    <w:p>
      <w:pPr>
        <w:jc w:val="center"/>
      </w:pPr>
      <w:r>
        <w:drawing>
          <wp:inline xmlns:a="http://schemas.openxmlformats.org/drawingml/2006/main" xmlns:pic="http://schemas.openxmlformats.org/drawingml/2006/picture">
            <wp:extent cx="5943600" cy="5152545"/>
            <wp:docPr id="4" name="Picture 4"/>
            <wp:cNvGraphicFramePr>
              <a:graphicFrameLocks noChangeAspect="1"/>
            </wp:cNvGraphicFramePr>
            <a:graphic>
              <a:graphicData uri="http://schemas.openxmlformats.org/drawingml/2006/picture">
                <pic:pic>
                  <pic:nvPicPr>
                    <pic:cNvPr id="0" name="Figure3_Partial_Correlation_Heatmaps.png"/>
                    <pic:cNvPicPr/>
                  </pic:nvPicPr>
                  <pic:blipFill>
                    <a:blip r:embed="rId12"/>
                    <a:stretch>
                      <a:fillRect/>
                    </a:stretch>
                  </pic:blipFill>
                  <pic:spPr>
                    <a:xfrm>
                      <a:off x="0" y="0"/>
                      <a:ext cx="5943600" cy="5152545"/>
                    </a:xfrm>
                    <a:prstGeom prst="rect"/>
                  </pic:spPr>
                </pic:pic>
              </a:graphicData>
            </a:graphic>
          </wp:inline>
        </w:drawing>
      </w:r>
    </w:p>
    <w:p>
      <w:pPr>
        <w:jc w:val="left"/>
      </w:pPr>
      <w:r>
        <w:rPr>
          <w:i/>
          <w:sz w:val="20"/>
        </w:rPr>
        <w:t>Figure S2 (Figure 3). Heatmap visualization of partial correlation matrices for four representative groups. Color intensity indicates the strength of conditional dependencies between food categories. Red indicates positive correlations, blue indicates negative correlations. Only statistically significant edges (selected by graphical lasso) are shown as non-zero values. The Protein-Vegetables relationship (r=0.318) emerges as the strongest across groups, highlighting the "quality vs breadth" paradigm in dietary networks.</w:t>
      </w:r>
    </w:p>
    <w:p/>
    <w:p>
      <w:r>
        <w:br w:type="page"/>
      </w:r>
    </w:p>
    <w:p>
      <w:pPr>
        <w:pStyle w:val="Heading2"/>
      </w:pPr>
      <w:r>
        <w:t>Document Information</w:t>
      </w:r>
    </w:p>
    <w:p>
      <w:r>
        <w:rPr>
          <w:b/>
        </w:rPr>
        <w:t xml:space="preserve">Configuration: </w:t>
      </w:r>
      <w:r>
        <w:t>Option 3 - Academic Networks with Hub Analysis</w:t>
        <w:br/>
      </w:r>
      <w:r>
        <w:rPr>
          <w:b/>
        </w:rPr>
        <w:t xml:space="preserve">Generated: </w:t>
      </w:r>
      <w:r>
        <w:t>2025-11-06</w:t>
        <w:br/>
      </w:r>
      <w:r>
        <w:rPr>
          <w:b/>
        </w:rPr>
        <w:t xml:space="preserve">Contents: </w:t>
      </w:r>
      <w:r>
        <w:t>2 Main Figures + 3 Tables + 2 Supplementary Figures</w:t>
        <w:br/>
      </w:r>
      <w:r>
        <w:rPr>
          <w:b/>
        </w:rPr>
        <w:t xml:space="preserve">Figures Format: </w:t>
      </w:r>
      <w:r>
        <w:t>PNG (High resolution, 300 DPI)</w:t>
        <w:br/>
      </w:r>
      <w:r>
        <w:rPr>
          <w:b/>
        </w:rPr>
        <w:t xml:space="preserve">Analysis Method: </w:t>
      </w:r>
      <w:r>
        <w:t>Semiparametric Gaussian Copula Graphical Models (SGCGM) with Graphical Lasso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